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2" w:rightFromText="142" w:vertAnchor="page" w:horzAnchor="page" w:tblpX="1135" w:tblpY="285"/>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679"/>
        <w:gridCol w:w="3686"/>
      </w:tblGrid>
      <w:tr w:rsidR="006B3E27" w:rsidRPr="00DB7679" w:rsidTr="00912700">
        <w:trPr>
          <w:trHeight w:hRule="exact" w:val="851"/>
        </w:trPr>
        <w:tc>
          <w:tcPr>
            <w:tcW w:w="1274" w:type="dxa"/>
            <w:tcBorders>
              <w:bottom w:val="single" w:sz="4" w:space="0" w:color="auto"/>
            </w:tcBorders>
          </w:tcPr>
          <w:p w:rsidR="006B3E27" w:rsidRPr="00983870" w:rsidRDefault="006B3E27" w:rsidP="00912700">
            <w:pPr>
              <w:bidi w:val="0"/>
              <w:jc w:val="right"/>
            </w:pPr>
            <w:bookmarkStart w:id="0" w:name="_GoBack"/>
            <w:bookmarkEnd w:id="0"/>
          </w:p>
        </w:tc>
        <w:tc>
          <w:tcPr>
            <w:tcW w:w="4679" w:type="dxa"/>
            <w:tcBorders>
              <w:bottom w:val="single" w:sz="4" w:space="0" w:color="auto"/>
            </w:tcBorders>
            <w:vAlign w:val="bottom"/>
          </w:tcPr>
          <w:p w:rsidR="006B3E27" w:rsidRPr="00DB7679" w:rsidRDefault="006B3E27" w:rsidP="00912700">
            <w:pPr>
              <w:spacing w:after="80" w:line="480" w:lineRule="exact"/>
              <w:jc w:val="left"/>
              <w:rPr>
                <w:szCs w:val="40"/>
                <w:rtl/>
              </w:rPr>
            </w:pPr>
            <w:r w:rsidRPr="00DB7679">
              <w:rPr>
                <w:rFonts w:hint="cs"/>
                <w:szCs w:val="40"/>
                <w:rtl/>
              </w:rPr>
              <w:t>الأمم المتحدة</w:t>
            </w:r>
          </w:p>
        </w:tc>
        <w:tc>
          <w:tcPr>
            <w:tcW w:w="3686" w:type="dxa"/>
            <w:tcBorders>
              <w:bottom w:val="single" w:sz="4" w:space="0" w:color="auto"/>
            </w:tcBorders>
            <w:vAlign w:val="bottom"/>
          </w:tcPr>
          <w:p w:rsidR="006B3E27" w:rsidRPr="00243C8A" w:rsidRDefault="006B2A0C" w:rsidP="009542AA">
            <w:pPr>
              <w:bidi w:val="0"/>
              <w:spacing w:after="20"/>
              <w:jc w:val="left"/>
              <w:rPr>
                <w:szCs w:val="20"/>
              </w:rPr>
            </w:pPr>
            <w:r w:rsidRPr="006B2A0C">
              <w:rPr>
                <w:sz w:val="40"/>
                <w:szCs w:val="20"/>
              </w:rPr>
              <w:t>CERD</w:t>
            </w:r>
            <w:r>
              <w:rPr>
                <w:szCs w:val="20"/>
              </w:rPr>
              <w:t>/C/ARE/Q/18-21</w:t>
            </w:r>
          </w:p>
        </w:tc>
      </w:tr>
      <w:tr w:rsidR="006B3E27" w:rsidRPr="00DB7679" w:rsidTr="00912700">
        <w:trPr>
          <w:trHeight w:hRule="exact" w:val="2835"/>
        </w:trPr>
        <w:tc>
          <w:tcPr>
            <w:tcW w:w="1274" w:type="dxa"/>
            <w:tcBorders>
              <w:top w:val="single" w:sz="4" w:space="0" w:color="auto"/>
              <w:bottom w:val="single" w:sz="12" w:space="0" w:color="auto"/>
            </w:tcBorders>
          </w:tcPr>
          <w:p w:rsidR="006B3E27" w:rsidRPr="00DB7679" w:rsidRDefault="0059622A" w:rsidP="00912700">
            <w:pPr>
              <w:jc w:val="center"/>
              <w:rPr>
                <w:rtl/>
              </w:rPr>
            </w:pPr>
            <w:r>
              <w:rPr>
                <w:noProof/>
              </w:rPr>
              <w:drawing>
                <wp:inline distT="0" distB="0" distL="0" distR="0" wp14:anchorId="6D643796" wp14:editId="38B57432">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9" w:type="dxa"/>
            <w:tcBorders>
              <w:top w:val="single" w:sz="4" w:space="0" w:color="auto"/>
              <w:bottom w:val="single" w:sz="12" w:space="0" w:color="auto"/>
            </w:tcBorders>
          </w:tcPr>
          <w:p w:rsidR="006B3E27" w:rsidRPr="00523BAE" w:rsidRDefault="001E1CAD" w:rsidP="00912700">
            <w:pPr>
              <w:spacing w:before="120" w:after="40" w:line="640" w:lineRule="exact"/>
              <w:jc w:val="left"/>
              <w:rPr>
                <w:b/>
                <w:bCs/>
                <w:sz w:val="56"/>
                <w:szCs w:val="56"/>
                <w:rtl/>
              </w:rPr>
            </w:pPr>
            <w:r w:rsidRPr="00523BAE">
              <w:rPr>
                <w:rFonts w:hint="cs"/>
                <w:b/>
                <w:bCs/>
                <w:sz w:val="56"/>
                <w:szCs w:val="56"/>
                <w:rtl/>
              </w:rPr>
              <w:t>ا</w:t>
            </w:r>
            <w:r w:rsidR="00523BAE" w:rsidRPr="00523BAE">
              <w:rPr>
                <w:rFonts w:hint="cs"/>
                <w:b/>
                <w:bCs/>
                <w:sz w:val="56"/>
                <w:szCs w:val="56"/>
                <w:rtl/>
              </w:rPr>
              <w:t>لا</w:t>
            </w:r>
            <w:r w:rsidR="004A14A6" w:rsidRPr="00523BAE">
              <w:rPr>
                <w:rFonts w:hint="cs"/>
                <w:b/>
                <w:bCs/>
                <w:sz w:val="56"/>
                <w:szCs w:val="56"/>
                <w:rtl/>
              </w:rPr>
              <w:t>تفاقي</w:t>
            </w:r>
            <w:r w:rsidR="00523BAE">
              <w:rPr>
                <w:rFonts w:hint="cs"/>
                <w:b/>
                <w:bCs/>
                <w:sz w:val="56"/>
                <w:szCs w:val="56"/>
                <w:rtl/>
              </w:rPr>
              <w:t>ـ</w:t>
            </w:r>
            <w:r w:rsidR="004A14A6" w:rsidRPr="00523BAE">
              <w:rPr>
                <w:rFonts w:hint="cs"/>
                <w:b/>
                <w:bCs/>
                <w:sz w:val="56"/>
                <w:szCs w:val="56"/>
                <w:rtl/>
              </w:rPr>
              <w:t xml:space="preserve">ة </w:t>
            </w:r>
            <w:r w:rsidR="00523BAE" w:rsidRPr="00523BAE">
              <w:rPr>
                <w:rFonts w:hint="cs"/>
                <w:b/>
                <w:bCs/>
                <w:sz w:val="56"/>
                <w:szCs w:val="56"/>
                <w:rtl/>
              </w:rPr>
              <w:t>الدولي</w:t>
            </w:r>
            <w:r w:rsidR="00523BAE">
              <w:rPr>
                <w:rFonts w:hint="cs"/>
                <w:b/>
                <w:bCs/>
                <w:sz w:val="56"/>
                <w:szCs w:val="56"/>
                <w:rtl/>
              </w:rPr>
              <w:t>ـ</w:t>
            </w:r>
            <w:r w:rsidR="00523BAE" w:rsidRPr="00523BAE">
              <w:rPr>
                <w:rFonts w:hint="cs"/>
                <w:b/>
                <w:bCs/>
                <w:sz w:val="56"/>
                <w:szCs w:val="56"/>
                <w:rtl/>
              </w:rPr>
              <w:t>ة ل</w:t>
            </w:r>
            <w:r w:rsidR="004A14A6" w:rsidRPr="00523BAE">
              <w:rPr>
                <w:rFonts w:hint="cs"/>
                <w:b/>
                <w:bCs/>
                <w:sz w:val="56"/>
                <w:szCs w:val="56"/>
                <w:rtl/>
              </w:rPr>
              <w:t>لقض</w:t>
            </w:r>
            <w:r w:rsidR="00523BAE">
              <w:rPr>
                <w:rFonts w:hint="cs"/>
                <w:b/>
                <w:bCs/>
                <w:sz w:val="56"/>
                <w:szCs w:val="56"/>
                <w:rtl/>
              </w:rPr>
              <w:t>ــ</w:t>
            </w:r>
            <w:r w:rsidR="004A14A6" w:rsidRPr="00523BAE">
              <w:rPr>
                <w:rFonts w:hint="cs"/>
                <w:b/>
                <w:bCs/>
                <w:sz w:val="56"/>
                <w:szCs w:val="56"/>
                <w:rtl/>
              </w:rPr>
              <w:t>اء عل</w:t>
            </w:r>
            <w:r w:rsidR="00523BAE">
              <w:rPr>
                <w:rFonts w:hint="cs"/>
                <w:b/>
                <w:bCs/>
                <w:sz w:val="56"/>
                <w:szCs w:val="56"/>
                <w:rtl/>
              </w:rPr>
              <w:t>ـ</w:t>
            </w:r>
            <w:r w:rsidR="004A14A6" w:rsidRPr="00523BAE">
              <w:rPr>
                <w:rFonts w:hint="cs"/>
                <w:b/>
                <w:bCs/>
                <w:sz w:val="56"/>
                <w:szCs w:val="56"/>
                <w:rtl/>
              </w:rPr>
              <w:t xml:space="preserve">ى جميع أشكال التمييز </w:t>
            </w:r>
            <w:r w:rsidR="00523BAE" w:rsidRPr="00523BAE">
              <w:rPr>
                <w:rFonts w:hint="cs"/>
                <w:b/>
                <w:bCs/>
                <w:sz w:val="56"/>
                <w:szCs w:val="56"/>
                <w:rtl/>
              </w:rPr>
              <w:t>العنصري</w:t>
            </w:r>
          </w:p>
        </w:tc>
        <w:tc>
          <w:tcPr>
            <w:tcW w:w="3686" w:type="dxa"/>
            <w:tcBorders>
              <w:top w:val="single" w:sz="4" w:space="0" w:color="auto"/>
              <w:bottom w:val="single" w:sz="12" w:space="0" w:color="auto"/>
            </w:tcBorders>
          </w:tcPr>
          <w:p w:rsidR="006B3E27" w:rsidRDefault="009542AA" w:rsidP="009542AA">
            <w:pPr>
              <w:bidi w:val="0"/>
              <w:spacing w:before="240"/>
              <w:jc w:val="left"/>
            </w:pPr>
            <w:r>
              <w:t>Distr.: General</w:t>
            </w:r>
          </w:p>
          <w:p w:rsidR="009542AA" w:rsidRDefault="009542AA" w:rsidP="009542AA">
            <w:pPr>
              <w:bidi w:val="0"/>
              <w:jc w:val="left"/>
            </w:pPr>
            <w:r>
              <w:t>23 May 2017</w:t>
            </w:r>
          </w:p>
          <w:p w:rsidR="009542AA" w:rsidRDefault="009542AA" w:rsidP="009542AA">
            <w:pPr>
              <w:bidi w:val="0"/>
              <w:jc w:val="left"/>
            </w:pPr>
            <w:r>
              <w:t>Arabic</w:t>
            </w:r>
          </w:p>
          <w:p w:rsidR="009542AA" w:rsidRDefault="009542AA" w:rsidP="009542AA">
            <w:pPr>
              <w:bidi w:val="0"/>
              <w:jc w:val="left"/>
            </w:pPr>
            <w:r>
              <w:t>Original: English</w:t>
            </w:r>
          </w:p>
          <w:p w:rsidR="0093628F" w:rsidRPr="008B4BC6" w:rsidRDefault="0093628F" w:rsidP="0093628F">
            <w:pPr>
              <w:bidi w:val="0"/>
              <w:jc w:val="left"/>
            </w:pPr>
            <w:r>
              <w:t xml:space="preserve">Arabic, English, French </w:t>
            </w:r>
            <w:r>
              <w:br/>
              <w:t>and Spanish only</w:t>
            </w:r>
          </w:p>
        </w:tc>
      </w:tr>
    </w:tbl>
    <w:p w:rsidR="009542AA" w:rsidRPr="009542AA" w:rsidRDefault="009542AA" w:rsidP="009542AA">
      <w:pPr>
        <w:spacing w:before="120" w:line="380" w:lineRule="exact"/>
        <w:rPr>
          <w:b/>
          <w:bCs/>
          <w:sz w:val="26"/>
          <w:szCs w:val="36"/>
        </w:rPr>
      </w:pPr>
      <w:r w:rsidRPr="009542AA">
        <w:rPr>
          <w:b/>
          <w:bCs/>
          <w:sz w:val="26"/>
          <w:szCs w:val="36"/>
          <w:rtl/>
        </w:rPr>
        <w:t>اللجنة المعنية بالقضاء على التمييز العنصري</w:t>
      </w:r>
    </w:p>
    <w:p w:rsidR="009542AA" w:rsidRPr="009542AA" w:rsidRDefault="009542AA" w:rsidP="009542AA">
      <w:pPr>
        <w:spacing w:line="380" w:lineRule="exact"/>
        <w:rPr>
          <w:b/>
          <w:bCs/>
        </w:rPr>
      </w:pPr>
      <w:r w:rsidRPr="009542AA">
        <w:rPr>
          <w:b/>
          <w:bCs/>
          <w:rtl/>
        </w:rPr>
        <w:t>الدورة الثالثة والتسعون</w:t>
      </w:r>
    </w:p>
    <w:p w:rsidR="009542AA" w:rsidRDefault="009542AA" w:rsidP="009542AA">
      <w:pPr>
        <w:spacing w:line="380" w:lineRule="exact"/>
      </w:pPr>
      <w:r>
        <w:rPr>
          <w:rtl/>
        </w:rPr>
        <w:t>٣١ تموز/يوليه</w:t>
      </w:r>
      <w:r>
        <w:rPr>
          <w:rFonts w:hint="cs"/>
          <w:rtl/>
        </w:rPr>
        <w:t xml:space="preserve"> </w:t>
      </w:r>
      <w:r>
        <w:rPr>
          <w:rtl/>
        </w:rPr>
        <w:t>-</w:t>
      </w:r>
      <w:r>
        <w:rPr>
          <w:rFonts w:hint="cs"/>
          <w:rtl/>
        </w:rPr>
        <w:t xml:space="preserve"> </w:t>
      </w:r>
      <w:r>
        <w:rPr>
          <w:rtl/>
        </w:rPr>
        <w:t>٢٥ آب/أغسطس ٢٠١٧</w:t>
      </w:r>
    </w:p>
    <w:p w:rsidR="009542AA" w:rsidRDefault="009542AA" w:rsidP="009542AA">
      <w:pPr>
        <w:spacing w:line="380" w:lineRule="exact"/>
      </w:pPr>
      <w:r>
        <w:rPr>
          <w:rtl/>
        </w:rPr>
        <w:t>البند ٤ من جدول الأعمال المؤقت</w:t>
      </w:r>
    </w:p>
    <w:p w:rsidR="009542AA" w:rsidRPr="009542AA" w:rsidRDefault="009542AA" w:rsidP="009542AA">
      <w:pPr>
        <w:spacing w:line="380" w:lineRule="exact"/>
        <w:ind w:right="5558"/>
        <w:rPr>
          <w:b/>
          <w:bCs/>
        </w:rPr>
      </w:pPr>
      <w:r w:rsidRPr="009542AA">
        <w:rPr>
          <w:b/>
          <w:bCs/>
          <w:rtl/>
        </w:rPr>
        <w:t>النظر في التقارير والتعليقات والمعلومات المقدمة من الدول الأطراف بموجب المادة ٩ اتفاقية</w:t>
      </w:r>
    </w:p>
    <w:p w:rsidR="009542AA" w:rsidRDefault="009542AA" w:rsidP="0093628F">
      <w:pPr>
        <w:pStyle w:val="HChGA"/>
      </w:pPr>
      <w:r>
        <w:rPr>
          <w:rtl/>
        </w:rPr>
        <w:tab/>
      </w:r>
      <w:r>
        <w:rPr>
          <w:rtl/>
        </w:rPr>
        <w:tab/>
        <w:t>قائمة المواضيع المتصلة بالتقرير الجامع للتقارير الدورية</w:t>
      </w:r>
      <w:r w:rsidR="0093628F">
        <w:rPr>
          <w:rtl/>
        </w:rPr>
        <w:t xml:space="preserve"> </w:t>
      </w:r>
      <w:r>
        <w:rPr>
          <w:rtl/>
        </w:rPr>
        <w:t>الثامن عشر إلى الحادي والعشرين للإمارات العربية المتحدة</w:t>
      </w:r>
    </w:p>
    <w:p w:rsidR="009542AA" w:rsidRDefault="009542AA" w:rsidP="009542AA">
      <w:pPr>
        <w:pStyle w:val="H1GA"/>
      </w:pPr>
      <w:r>
        <w:rPr>
          <w:rtl/>
        </w:rPr>
        <w:tab/>
      </w:r>
      <w:r>
        <w:rPr>
          <w:rtl/>
        </w:rPr>
        <w:tab/>
        <w:t>مذكرة من المقرر القُطري</w:t>
      </w:r>
    </w:p>
    <w:p w:rsidR="009542AA" w:rsidRDefault="009542AA" w:rsidP="009542AA">
      <w:pPr>
        <w:pStyle w:val="SingleTxtGA"/>
      </w:pPr>
      <w:r>
        <w:rPr>
          <w:rtl/>
        </w:rPr>
        <w:t>1-</w:t>
      </w:r>
      <w:r>
        <w:rPr>
          <w:rFonts w:hint="cs"/>
          <w:rtl/>
        </w:rPr>
        <w:tab/>
      </w:r>
      <w:r>
        <w:rPr>
          <w:rtl/>
        </w:rPr>
        <w:t xml:space="preserve">قررت لجنة القضاء على التمييز العنصري، في دورتها السادسة والسبعين، (انظر الوثيقة </w:t>
      </w:r>
      <w:r>
        <w:t>A/65/18</w:t>
      </w:r>
      <w:r>
        <w:rPr>
          <w:rtl/>
        </w:rPr>
        <w:t>، الفقرة 85) أن يُرسل المقرر القُطري إلى الدولة الطرف المعنية قائمة قصيرة بالمواضيع بهدف توجيه الحوار وتركيزه بين وفد الدولة الطرف واللجنة أثناء النظر في تقرير الدولة الطرف. وتتضمن هذه الوثيقة قائمة مواضيع من هذا القبيل. وهذه القائمة ليست شاملة؛ إذ يجوز أيضاً إثارة مسائل أخرى أثناء الحوار. ولا يلزم تقديم ردود كتابية.</w:t>
      </w:r>
    </w:p>
    <w:p w:rsidR="009542AA" w:rsidRDefault="009542AA" w:rsidP="00D7058C">
      <w:pPr>
        <w:pStyle w:val="H23GA"/>
      </w:pPr>
      <w:r>
        <w:rPr>
          <w:rFonts w:hint="cs"/>
          <w:rtl/>
        </w:rPr>
        <w:tab/>
      </w:r>
      <w:r>
        <w:rPr>
          <w:rFonts w:hint="cs"/>
          <w:rtl/>
        </w:rPr>
        <w:tab/>
      </w:r>
      <w:r>
        <w:rPr>
          <w:rtl/>
        </w:rPr>
        <w:t>الاتفاقية في القانون الداخلي والإطار المؤسسي والسياساتي ا</w:t>
      </w:r>
      <w:r w:rsidR="00D7058C">
        <w:rPr>
          <w:rtl/>
        </w:rPr>
        <w:t>لخاص بتنفيذها (المواد 1 و2 و4 و</w:t>
      </w:r>
      <w:r>
        <w:rPr>
          <w:rtl/>
        </w:rPr>
        <w:t>6)</w:t>
      </w:r>
    </w:p>
    <w:p w:rsidR="009542AA" w:rsidRDefault="009542AA" w:rsidP="00875E87">
      <w:pPr>
        <w:pStyle w:val="SingleTxtGA"/>
      </w:pPr>
      <w:r>
        <w:rPr>
          <w:rtl/>
        </w:rPr>
        <w:t>٢</w:t>
      </w:r>
      <w:r>
        <w:rPr>
          <w:rFonts w:hint="cs"/>
          <w:rtl/>
        </w:rPr>
        <w:t>-</w:t>
      </w:r>
      <w:r>
        <w:rPr>
          <w:rFonts w:hint="cs"/>
          <w:rtl/>
        </w:rPr>
        <w:tab/>
      </w:r>
      <w:r>
        <w:rPr>
          <w:rtl/>
        </w:rPr>
        <w:t>بيانات إحصائية محدثة عن التكوين الإثني للسكان مصنفة حسب العمر ونوع الجنس والانتماء الإثني والجنسية؛ المعلومات الإحصائية المفصلة بشأن التمتع بالحقوق الاقتصادية والاجتماعية والثقافية من جانب الجماعات العرقية وتمثيل المرأة في الحياة الع</w:t>
      </w:r>
      <w:r w:rsidR="00D7058C">
        <w:rPr>
          <w:rtl/>
        </w:rPr>
        <w:t>امة والسياسية في الدولة الطرف (</w:t>
      </w:r>
      <w:r>
        <w:t>CERD/C/ARE/18-21</w:t>
      </w:r>
      <w:r>
        <w:rPr>
          <w:rtl/>
        </w:rPr>
        <w:t xml:space="preserve">، الفقرة 19؛ </w:t>
      </w:r>
      <w:r w:rsidR="00D7058C">
        <w:t>CERD/C/ARE</w:t>
      </w:r>
      <w:r>
        <w:t>/CO/17</w:t>
      </w:r>
      <w:r w:rsidR="00D7058C">
        <w:rPr>
          <w:rtl/>
        </w:rPr>
        <w:t>، الفقرة</w:t>
      </w:r>
      <w:r w:rsidR="00D7058C">
        <w:rPr>
          <w:rFonts w:hint="cs"/>
          <w:rtl/>
        </w:rPr>
        <w:t xml:space="preserve"> </w:t>
      </w:r>
      <w:r w:rsidR="00875E87">
        <w:rPr>
          <w:rFonts w:hint="cs"/>
          <w:rtl/>
        </w:rPr>
        <w:t>10</w:t>
      </w:r>
      <w:r>
        <w:rPr>
          <w:rtl/>
        </w:rPr>
        <w:t>).</w:t>
      </w:r>
    </w:p>
    <w:p w:rsidR="009542AA" w:rsidRPr="00D7058C" w:rsidRDefault="009542AA" w:rsidP="00D7058C">
      <w:pPr>
        <w:pStyle w:val="SingleTxtGA"/>
        <w:rPr>
          <w:spacing w:val="-2"/>
        </w:rPr>
      </w:pPr>
      <w:r w:rsidRPr="00D7058C">
        <w:rPr>
          <w:spacing w:val="-2"/>
          <w:rtl/>
        </w:rPr>
        <w:t>٣</w:t>
      </w:r>
      <w:r w:rsidRPr="00D7058C">
        <w:rPr>
          <w:rFonts w:hint="cs"/>
          <w:spacing w:val="-2"/>
          <w:rtl/>
        </w:rPr>
        <w:t>-</w:t>
      </w:r>
      <w:r w:rsidRPr="00D7058C">
        <w:rPr>
          <w:rFonts w:hint="cs"/>
          <w:spacing w:val="-2"/>
          <w:rtl/>
        </w:rPr>
        <w:tab/>
      </w:r>
      <w:r w:rsidRPr="00D7058C">
        <w:rPr>
          <w:spacing w:val="-2"/>
          <w:rtl/>
        </w:rPr>
        <w:t>معلومات عن الجهود المبذولة لضمان اتساق</w:t>
      </w:r>
      <w:r w:rsidR="0093628F">
        <w:rPr>
          <w:spacing w:val="-2"/>
          <w:rtl/>
        </w:rPr>
        <w:t xml:space="preserve"> </w:t>
      </w:r>
      <w:r w:rsidRPr="00D7058C">
        <w:rPr>
          <w:spacing w:val="-2"/>
          <w:rtl/>
        </w:rPr>
        <w:t>حظر خطاب الكراهية الوارد في المادة</w:t>
      </w:r>
      <w:r w:rsidR="00D7058C" w:rsidRPr="00D7058C">
        <w:rPr>
          <w:rFonts w:hint="cs"/>
          <w:spacing w:val="-2"/>
          <w:rtl/>
        </w:rPr>
        <w:t> </w:t>
      </w:r>
      <w:r w:rsidR="00D7058C">
        <w:rPr>
          <w:spacing w:val="-2"/>
          <w:rtl/>
        </w:rPr>
        <w:t xml:space="preserve">25 من الدستور </w:t>
      </w:r>
      <w:r w:rsidRPr="00D7058C">
        <w:rPr>
          <w:spacing w:val="-2"/>
          <w:rtl/>
        </w:rPr>
        <w:t xml:space="preserve">مع المادة 1 من الاتفاقية (المادة ٤ </w:t>
      </w:r>
      <w:r w:rsidRPr="00D7058C">
        <w:rPr>
          <w:spacing w:val="-2"/>
        </w:rPr>
        <w:t>CERD/C/ARE/18-21</w:t>
      </w:r>
      <w:r w:rsidRPr="00D7058C">
        <w:rPr>
          <w:spacing w:val="-2"/>
          <w:rtl/>
        </w:rPr>
        <w:t>، الفقرة 21</w:t>
      </w:r>
      <w:r w:rsidR="0093628F">
        <w:rPr>
          <w:spacing w:val="-2"/>
          <w:rtl/>
        </w:rPr>
        <w:t>).</w:t>
      </w:r>
    </w:p>
    <w:p w:rsidR="009542AA" w:rsidRDefault="009542AA" w:rsidP="009542AA">
      <w:pPr>
        <w:pStyle w:val="SingleTxtGA"/>
      </w:pPr>
      <w:r>
        <w:rPr>
          <w:rtl/>
        </w:rPr>
        <w:t>٤</w:t>
      </w:r>
      <w:r>
        <w:rPr>
          <w:rFonts w:hint="cs"/>
          <w:rtl/>
        </w:rPr>
        <w:t>-</w:t>
      </w:r>
      <w:r>
        <w:rPr>
          <w:rFonts w:hint="cs"/>
          <w:rtl/>
        </w:rPr>
        <w:tab/>
      </w:r>
      <w:r>
        <w:rPr>
          <w:rtl/>
        </w:rPr>
        <w:t>معلومات مستكملة عن التدابير المتخذة لتعزيز الإطار القانوني المتعلق بالتمييز العنصري وأثرها (</w:t>
      </w:r>
      <w:r>
        <w:t>CERD/C/ARE/18-21</w:t>
      </w:r>
      <w:r w:rsidR="00D7058C">
        <w:rPr>
          <w:rtl/>
        </w:rPr>
        <w:t>، الفقرات ٢١</w:t>
      </w:r>
      <w:r>
        <w:rPr>
          <w:rtl/>
        </w:rPr>
        <w:t>-29)</w:t>
      </w:r>
      <w:r w:rsidR="00D7058C">
        <w:rPr>
          <w:rFonts w:hint="cs"/>
          <w:rtl/>
        </w:rPr>
        <w:t xml:space="preserve">. </w:t>
      </w:r>
    </w:p>
    <w:p w:rsidR="009542AA" w:rsidRPr="00AD4B21" w:rsidRDefault="009542AA" w:rsidP="00610559">
      <w:pPr>
        <w:pStyle w:val="SingleTxtGA"/>
        <w:spacing w:after="100" w:line="376" w:lineRule="exact"/>
        <w:rPr>
          <w:spacing w:val="-2"/>
        </w:rPr>
      </w:pPr>
      <w:r w:rsidRPr="00AD4B21">
        <w:rPr>
          <w:spacing w:val="-2"/>
          <w:rtl/>
        </w:rPr>
        <w:lastRenderedPageBreak/>
        <w:t>٥</w:t>
      </w:r>
      <w:r w:rsidRPr="00AD4B21">
        <w:rPr>
          <w:rFonts w:hint="cs"/>
          <w:spacing w:val="-2"/>
          <w:rtl/>
        </w:rPr>
        <w:t>-</w:t>
      </w:r>
      <w:r w:rsidRPr="00AD4B21">
        <w:rPr>
          <w:rFonts w:hint="cs"/>
          <w:spacing w:val="-2"/>
          <w:rtl/>
        </w:rPr>
        <w:tab/>
      </w:r>
      <w:r w:rsidRPr="00AD4B21">
        <w:rPr>
          <w:spacing w:val="-2"/>
          <w:rtl/>
        </w:rPr>
        <w:t xml:space="preserve">معلومات تفصيلية عن تنفيذ المرسوم بقانون رقم </w:t>
      </w:r>
      <w:r w:rsidR="00F471DE">
        <w:rPr>
          <w:spacing w:val="-2"/>
          <w:rtl/>
        </w:rPr>
        <w:t xml:space="preserve">2 الصادر عام 2015 </w:t>
      </w:r>
      <w:r w:rsidR="00F471DE">
        <w:rPr>
          <w:rFonts w:hint="cs"/>
          <w:spacing w:val="-2"/>
          <w:rtl/>
        </w:rPr>
        <w:t>ب</w:t>
      </w:r>
      <w:r w:rsidRPr="00AD4B21">
        <w:rPr>
          <w:spacing w:val="-2"/>
          <w:rtl/>
        </w:rPr>
        <w:t>شأن التمييز</w:t>
      </w:r>
      <w:r w:rsidR="0093628F" w:rsidRPr="00AD4B21">
        <w:rPr>
          <w:spacing w:val="-2"/>
          <w:rtl/>
        </w:rPr>
        <w:t xml:space="preserve"> و</w:t>
      </w:r>
      <w:r w:rsidRPr="00AD4B21">
        <w:rPr>
          <w:spacing w:val="-2"/>
          <w:rtl/>
        </w:rPr>
        <w:t>الكراهية</w:t>
      </w:r>
      <w:r w:rsidR="0093628F" w:rsidRPr="00AD4B21">
        <w:rPr>
          <w:spacing w:val="-2"/>
          <w:rtl/>
        </w:rPr>
        <w:t xml:space="preserve"> </w:t>
      </w:r>
      <w:r w:rsidRPr="00AD4B21">
        <w:rPr>
          <w:spacing w:val="-2"/>
          <w:rtl/>
        </w:rPr>
        <w:t>وتأثيره على أوضاع</w:t>
      </w:r>
      <w:r w:rsidR="0093628F" w:rsidRPr="00AD4B21">
        <w:rPr>
          <w:spacing w:val="-2"/>
          <w:rtl/>
        </w:rPr>
        <w:t xml:space="preserve"> </w:t>
      </w:r>
      <w:r w:rsidRPr="00AD4B21">
        <w:rPr>
          <w:spacing w:val="-2"/>
          <w:rtl/>
        </w:rPr>
        <w:t>الأقليات الإثنية</w:t>
      </w:r>
      <w:r w:rsidR="0093628F" w:rsidRPr="00AD4B21">
        <w:rPr>
          <w:spacing w:val="-2"/>
          <w:rtl/>
        </w:rPr>
        <w:t xml:space="preserve"> </w:t>
      </w:r>
      <w:r w:rsidRPr="00AD4B21">
        <w:rPr>
          <w:spacing w:val="-2"/>
          <w:rtl/>
        </w:rPr>
        <w:t>بما في ذلك أمثلة عن القضايا المرفوعة أمام المحاكم الوطنية المخالفة لذلك</w:t>
      </w:r>
      <w:r w:rsidR="0093628F" w:rsidRPr="00AD4B21">
        <w:rPr>
          <w:spacing w:val="-2"/>
          <w:rtl/>
        </w:rPr>
        <w:t xml:space="preserve"> </w:t>
      </w:r>
      <w:r w:rsidRPr="00AD4B21">
        <w:rPr>
          <w:spacing w:val="-2"/>
          <w:rtl/>
        </w:rPr>
        <w:t>المرسوم؛ معلومات عن الجهود المبذولة لضمان</w:t>
      </w:r>
      <w:r w:rsidR="0093628F" w:rsidRPr="00AD4B21">
        <w:rPr>
          <w:spacing w:val="-2"/>
          <w:rtl/>
        </w:rPr>
        <w:t xml:space="preserve"> </w:t>
      </w:r>
      <w:r w:rsidRPr="00AD4B21">
        <w:rPr>
          <w:spacing w:val="-2"/>
          <w:rtl/>
        </w:rPr>
        <w:t>اتساق حظر خطاب الكراهية الوارد في المرسوم مع المادة 4</w:t>
      </w:r>
      <w:r w:rsidR="0093628F" w:rsidRPr="00AD4B21">
        <w:rPr>
          <w:spacing w:val="-2"/>
          <w:rtl/>
        </w:rPr>
        <w:t xml:space="preserve"> </w:t>
      </w:r>
      <w:r w:rsidRPr="00AD4B21">
        <w:rPr>
          <w:spacing w:val="-2"/>
          <w:rtl/>
        </w:rPr>
        <w:t>من الاتفاقية (</w:t>
      </w:r>
      <w:r w:rsidRPr="00AD4B21">
        <w:rPr>
          <w:spacing w:val="-2"/>
        </w:rPr>
        <w:t>CERD/C/ARE/18-21</w:t>
      </w:r>
      <w:r w:rsidRPr="00AD4B21">
        <w:rPr>
          <w:spacing w:val="-2"/>
          <w:rtl/>
        </w:rPr>
        <w:t>، الفقرات</w:t>
      </w:r>
      <w:r w:rsidR="00D7058C" w:rsidRPr="00AD4B21">
        <w:rPr>
          <w:spacing w:val="-2"/>
          <w:rtl/>
        </w:rPr>
        <w:t xml:space="preserve"> ٢٣</w:t>
      </w:r>
      <w:r w:rsidRPr="00AD4B21">
        <w:rPr>
          <w:spacing w:val="-2"/>
          <w:rtl/>
        </w:rPr>
        <w:t>-28)</w:t>
      </w:r>
      <w:r w:rsidR="00D7058C" w:rsidRPr="00AD4B21">
        <w:rPr>
          <w:rFonts w:hint="cs"/>
          <w:spacing w:val="-2"/>
          <w:rtl/>
        </w:rPr>
        <w:t>.</w:t>
      </w:r>
    </w:p>
    <w:p w:rsidR="009542AA" w:rsidRPr="00AD4B21" w:rsidRDefault="009542AA" w:rsidP="00610559">
      <w:pPr>
        <w:pStyle w:val="SingleTxtGA"/>
        <w:spacing w:after="100" w:line="376" w:lineRule="exact"/>
        <w:rPr>
          <w:spacing w:val="-2"/>
        </w:rPr>
      </w:pPr>
      <w:r w:rsidRPr="00AD4B21">
        <w:rPr>
          <w:spacing w:val="-2"/>
          <w:rtl/>
        </w:rPr>
        <w:t>٦</w:t>
      </w:r>
      <w:r w:rsidRPr="00AD4B21">
        <w:rPr>
          <w:rFonts w:hint="cs"/>
          <w:spacing w:val="-2"/>
          <w:rtl/>
        </w:rPr>
        <w:t>-</w:t>
      </w:r>
      <w:r w:rsidRPr="00AD4B21">
        <w:rPr>
          <w:rFonts w:hint="cs"/>
          <w:spacing w:val="-2"/>
          <w:rtl/>
        </w:rPr>
        <w:tab/>
      </w:r>
      <w:r w:rsidRPr="00AD4B21">
        <w:rPr>
          <w:spacing w:val="-2"/>
          <w:rtl/>
        </w:rPr>
        <w:t>معلومات إضافية عن تعديل القانون الجنائي الاتحادي (القانون الاتحادي رقم ٣ الصادر عام ١٩٨٧) تمكن من النظر في التمييز العنصري بوصفه ظرفا</w:t>
      </w:r>
      <w:r w:rsidR="0093628F" w:rsidRPr="00AD4B21">
        <w:rPr>
          <w:rFonts w:hint="cs"/>
          <w:spacing w:val="-2"/>
          <w:rtl/>
        </w:rPr>
        <w:t>ً</w:t>
      </w:r>
      <w:r w:rsidRPr="00AD4B21">
        <w:rPr>
          <w:spacing w:val="-2"/>
          <w:rtl/>
        </w:rPr>
        <w:t xml:space="preserve"> مشددا</w:t>
      </w:r>
      <w:r w:rsidR="0093628F" w:rsidRPr="00AD4B21">
        <w:rPr>
          <w:rFonts w:hint="cs"/>
          <w:spacing w:val="-2"/>
          <w:rtl/>
        </w:rPr>
        <w:t>ً</w:t>
      </w:r>
      <w:r w:rsidRPr="00AD4B21">
        <w:rPr>
          <w:spacing w:val="-2"/>
          <w:rtl/>
        </w:rPr>
        <w:t>؛ أمثلة على حالات طبقت فيها هذه الأحكام من قبل المحاكم الوطنية (</w:t>
      </w:r>
      <w:r w:rsidRPr="00AD4B21">
        <w:rPr>
          <w:spacing w:val="-2"/>
        </w:rPr>
        <w:t>CERD/C/ARE/18-21</w:t>
      </w:r>
      <w:r w:rsidR="00BB187E" w:rsidRPr="00AD4B21">
        <w:rPr>
          <w:rFonts w:hint="cs"/>
          <w:spacing w:val="-2"/>
          <w:rtl/>
        </w:rPr>
        <w:t xml:space="preserve">، </w:t>
      </w:r>
      <w:r w:rsidR="00BB187E" w:rsidRPr="00AD4B21">
        <w:rPr>
          <w:spacing w:val="-2"/>
          <w:rtl/>
        </w:rPr>
        <w:t>الفقرة ٢٢</w:t>
      </w:r>
      <w:r w:rsidRPr="00AD4B21">
        <w:rPr>
          <w:spacing w:val="-2"/>
          <w:rtl/>
        </w:rPr>
        <w:t>).</w:t>
      </w:r>
    </w:p>
    <w:p w:rsidR="009542AA" w:rsidRDefault="009542AA" w:rsidP="00610559">
      <w:pPr>
        <w:pStyle w:val="SingleTxtGA"/>
        <w:spacing w:after="100" w:line="376" w:lineRule="exact"/>
      </w:pPr>
      <w:r>
        <w:rPr>
          <w:rtl/>
        </w:rPr>
        <w:t>٧</w:t>
      </w:r>
      <w:r>
        <w:rPr>
          <w:rFonts w:hint="cs"/>
          <w:rtl/>
        </w:rPr>
        <w:t>-</w:t>
      </w:r>
      <w:r>
        <w:rPr>
          <w:rFonts w:hint="cs"/>
          <w:rtl/>
        </w:rPr>
        <w:tab/>
      </w:r>
      <w:r>
        <w:rPr>
          <w:rtl/>
        </w:rPr>
        <w:t>معلومات إضافية عن المرسوم بقانون</w:t>
      </w:r>
      <w:r w:rsidR="0093628F">
        <w:rPr>
          <w:rtl/>
        </w:rPr>
        <w:t xml:space="preserve"> </w:t>
      </w:r>
      <w:r>
        <w:rPr>
          <w:rtl/>
        </w:rPr>
        <w:t>رقم 5 الصادر عام</w:t>
      </w:r>
      <w:r w:rsidR="007E416B">
        <w:rPr>
          <w:rFonts w:hint="cs"/>
          <w:rtl/>
        </w:rPr>
        <w:t xml:space="preserve"> </w:t>
      </w:r>
      <w:r>
        <w:rPr>
          <w:rtl/>
        </w:rPr>
        <w:t>٢٠١٢ بشأن مكافحة الجريمة السيبرانية</w:t>
      </w:r>
      <w:r w:rsidR="0093628F">
        <w:rPr>
          <w:rtl/>
        </w:rPr>
        <w:t xml:space="preserve"> </w:t>
      </w:r>
      <w:r>
        <w:rPr>
          <w:rtl/>
        </w:rPr>
        <w:t>فيما يتصل بالأحكام المتعلقة بتعميم الأفكار التي تحرض على الكراهية أو العنصرية أو</w:t>
      </w:r>
      <w:r w:rsidR="0093628F">
        <w:rPr>
          <w:rFonts w:hint="cs"/>
          <w:rtl/>
        </w:rPr>
        <w:t> </w:t>
      </w:r>
      <w:r>
        <w:rPr>
          <w:rtl/>
        </w:rPr>
        <w:t>المساس بالوحدة الوطنية أو السلام الاجتماعي، أو الإخلال بالنظام العام أو الآداب العامة، بما في ذلك أمثلة على تطبيق هذا الحكم من جانب المحاكم الوطنية، وأنواع العقوبات المفروضة على الانتهاكات (</w:t>
      </w:r>
      <w:r>
        <w:t>CERD/C/ARE/18-21</w:t>
      </w:r>
      <w:r w:rsidR="00BB187E">
        <w:rPr>
          <w:rFonts w:hint="cs"/>
          <w:rtl/>
        </w:rPr>
        <w:t>،</w:t>
      </w:r>
      <w:r>
        <w:rPr>
          <w:rtl/>
        </w:rPr>
        <w:t xml:space="preserve"> الفقرة</w:t>
      </w:r>
      <w:r w:rsidR="00BB187E">
        <w:rPr>
          <w:rFonts w:hint="cs"/>
          <w:rtl/>
        </w:rPr>
        <w:t xml:space="preserve"> </w:t>
      </w:r>
      <w:r>
        <w:rPr>
          <w:rtl/>
        </w:rPr>
        <w:t>٢٩).</w:t>
      </w:r>
    </w:p>
    <w:p w:rsidR="009542AA" w:rsidRDefault="009542AA" w:rsidP="00610559">
      <w:pPr>
        <w:pStyle w:val="SingleTxtGA"/>
        <w:spacing w:after="100" w:line="376" w:lineRule="exact"/>
      </w:pPr>
      <w:r>
        <w:rPr>
          <w:rtl/>
        </w:rPr>
        <w:t>٨</w:t>
      </w:r>
      <w:r>
        <w:rPr>
          <w:rFonts w:hint="cs"/>
          <w:rtl/>
        </w:rPr>
        <w:t>-</w:t>
      </w:r>
      <w:r>
        <w:rPr>
          <w:rFonts w:hint="cs"/>
          <w:rtl/>
        </w:rPr>
        <w:tab/>
      </w:r>
      <w:r>
        <w:rPr>
          <w:rtl/>
        </w:rPr>
        <w:t>معلومات عن الجهود المبذولة لإنشاء مؤسسة وطنية لحقوق الإنسان تماشي</w:t>
      </w:r>
      <w:r w:rsidR="0093628F">
        <w:rPr>
          <w:rtl/>
        </w:rPr>
        <w:t xml:space="preserve">اً </w:t>
      </w:r>
      <w:r>
        <w:rPr>
          <w:rtl/>
        </w:rPr>
        <w:t>مع الالتزام الطوعي الذي تعهدت به الدولة الطرف خلال الاستعراض الدوري الشامل في عام ٢٠٠٨ (</w:t>
      </w:r>
      <w:r>
        <w:t>A/HRC/WG.6/15/ARE/1</w:t>
      </w:r>
      <w:r w:rsidR="00EF2D91">
        <w:rPr>
          <w:rtl/>
        </w:rPr>
        <w:t xml:space="preserve"> و</w:t>
      </w:r>
      <w:r>
        <w:t>Corr.1</w:t>
      </w:r>
      <w:r w:rsidR="00EF2D91">
        <w:rPr>
          <w:rFonts w:hint="cs"/>
          <w:rtl/>
        </w:rPr>
        <w:t>،</w:t>
      </w:r>
      <w:r w:rsidR="002801A8">
        <w:rPr>
          <w:rtl/>
        </w:rPr>
        <w:t xml:space="preserve"> الفقرة ١٠</w:t>
      </w:r>
      <w:r>
        <w:rPr>
          <w:rtl/>
        </w:rPr>
        <w:t>).</w:t>
      </w:r>
    </w:p>
    <w:p w:rsidR="009542AA" w:rsidRDefault="009542AA" w:rsidP="00D7058C">
      <w:pPr>
        <w:pStyle w:val="H23GA"/>
      </w:pPr>
      <w:r>
        <w:rPr>
          <w:rFonts w:hint="cs"/>
          <w:rtl/>
        </w:rPr>
        <w:tab/>
      </w:r>
      <w:r>
        <w:rPr>
          <w:rFonts w:hint="cs"/>
          <w:rtl/>
        </w:rPr>
        <w:tab/>
      </w:r>
      <w:r>
        <w:rPr>
          <w:rtl/>
        </w:rPr>
        <w:t>حالة الأقليات الإثنية (المواد 2</w:t>
      </w:r>
      <w:r w:rsidR="00D7058C">
        <w:rPr>
          <w:rFonts w:hint="cs"/>
          <w:rtl/>
        </w:rPr>
        <w:t xml:space="preserve"> و</w:t>
      </w:r>
      <w:r>
        <w:rPr>
          <w:rtl/>
        </w:rPr>
        <w:t>4</w:t>
      </w:r>
      <w:r w:rsidR="00D7058C">
        <w:rPr>
          <w:rFonts w:hint="cs"/>
          <w:rtl/>
        </w:rPr>
        <w:t>-</w:t>
      </w:r>
      <w:r>
        <w:rPr>
          <w:rtl/>
        </w:rPr>
        <w:t>6)</w:t>
      </w:r>
    </w:p>
    <w:p w:rsidR="009542AA" w:rsidRPr="00AD4B21" w:rsidRDefault="009542AA" w:rsidP="00610559">
      <w:pPr>
        <w:pStyle w:val="SingleTxtGA"/>
        <w:spacing w:after="100" w:line="376" w:lineRule="exact"/>
        <w:rPr>
          <w:spacing w:val="-2"/>
        </w:rPr>
      </w:pPr>
      <w:r w:rsidRPr="00AD4B21">
        <w:rPr>
          <w:spacing w:val="-2"/>
          <w:rtl/>
        </w:rPr>
        <w:t>٩</w:t>
      </w:r>
      <w:r w:rsidRPr="00AD4B21">
        <w:rPr>
          <w:rFonts w:hint="cs"/>
          <w:spacing w:val="-2"/>
          <w:rtl/>
        </w:rPr>
        <w:t>-</w:t>
      </w:r>
      <w:r w:rsidRPr="00AD4B21">
        <w:rPr>
          <w:rFonts w:hint="cs"/>
          <w:spacing w:val="-2"/>
          <w:rtl/>
        </w:rPr>
        <w:tab/>
      </w:r>
      <w:r w:rsidRPr="00AD4B21">
        <w:rPr>
          <w:spacing w:val="-2"/>
          <w:rtl/>
        </w:rPr>
        <w:t>معلومات وبيانات إحصائية مفصلة عن عدد شكاوى التمييز العنصري وجرائم الكراهية وخطاب الكراهية في الدولة الطرف وعدد التحقيقات والملاحقات القضائية وإدانات الجناة؛ معلومات عن التدابير المتخذة لضمان وصول الأقليات الإث</w:t>
      </w:r>
      <w:r w:rsidR="00D7058C" w:rsidRPr="00AD4B21">
        <w:rPr>
          <w:spacing w:val="-2"/>
          <w:rtl/>
        </w:rPr>
        <w:t>نية</w:t>
      </w:r>
      <w:r w:rsidR="0093628F" w:rsidRPr="00AD4B21">
        <w:rPr>
          <w:spacing w:val="-2"/>
          <w:rtl/>
        </w:rPr>
        <w:t xml:space="preserve"> </w:t>
      </w:r>
      <w:r w:rsidR="00D7058C" w:rsidRPr="00AD4B21">
        <w:rPr>
          <w:spacing w:val="-2"/>
          <w:rtl/>
        </w:rPr>
        <w:t xml:space="preserve">إلى سبل الانتصاف القضائية </w:t>
      </w:r>
      <w:r w:rsidRPr="00AD4B21">
        <w:rPr>
          <w:spacing w:val="-2"/>
          <w:rtl/>
        </w:rPr>
        <w:t xml:space="preserve">بسبب انتهاكات الحقوق المكفولة بموجب الاتفاقية، </w:t>
      </w:r>
      <w:r w:rsidR="00341DC0" w:rsidRPr="00AD4B21">
        <w:rPr>
          <w:rFonts w:hint="cs"/>
          <w:spacing w:val="-2"/>
          <w:rtl/>
        </w:rPr>
        <w:t>(</w:t>
      </w:r>
      <w:r w:rsidRPr="00AD4B21">
        <w:rPr>
          <w:spacing w:val="-2"/>
        </w:rPr>
        <w:t>CERD/C/ARE/18-21</w:t>
      </w:r>
      <w:r w:rsidR="00341DC0" w:rsidRPr="00AD4B21">
        <w:rPr>
          <w:rFonts w:hint="cs"/>
          <w:spacing w:val="-2"/>
          <w:rtl/>
        </w:rPr>
        <w:t>،</w:t>
      </w:r>
      <w:r w:rsidR="00341DC0" w:rsidRPr="00AD4B21">
        <w:rPr>
          <w:spacing w:val="-2"/>
          <w:rtl/>
        </w:rPr>
        <w:t xml:space="preserve"> الفقرة ٣٠</w:t>
      </w:r>
      <w:r w:rsidR="00341DC0" w:rsidRPr="00AD4B21">
        <w:rPr>
          <w:rFonts w:hint="cs"/>
          <w:spacing w:val="-2"/>
          <w:rtl/>
        </w:rPr>
        <w:t>)</w:t>
      </w:r>
      <w:r w:rsidR="00D7058C" w:rsidRPr="00AD4B21">
        <w:rPr>
          <w:rFonts w:hint="cs"/>
          <w:spacing w:val="-2"/>
          <w:rtl/>
        </w:rPr>
        <w:t>.</w:t>
      </w:r>
    </w:p>
    <w:p w:rsidR="009542AA" w:rsidRPr="00C576E8" w:rsidRDefault="009542AA" w:rsidP="00610559">
      <w:pPr>
        <w:pStyle w:val="SingleTxtGA"/>
        <w:spacing w:after="100" w:line="376" w:lineRule="exact"/>
        <w:rPr>
          <w:spacing w:val="-5"/>
        </w:rPr>
      </w:pPr>
      <w:r w:rsidRPr="00C576E8">
        <w:rPr>
          <w:spacing w:val="-5"/>
          <w:rtl/>
        </w:rPr>
        <w:t>١٠</w:t>
      </w:r>
      <w:r w:rsidRPr="00C576E8">
        <w:rPr>
          <w:rFonts w:hint="cs"/>
          <w:spacing w:val="-5"/>
          <w:rtl/>
        </w:rPr>
        <w:t>-</w:t>
      </w:r>
      <w:r w:rsidRPr="00C576E8">
        <w:rPr>
          <w:rFonts w:hint="cs"/>
          <w:spacing w:val="-5"/>
          <w:rtl/>
        </w:rPr>
        <w:tab/>
        <w:t>معلومات</w:t>
      </w:r>
      <w:r w:rsidRPr="00C576E8">
        <w:rPr>
          <w:spacing w:val="-5"/>
          <w:rtl/>
        </w:rPr>
        <w:t xml:space="preserve"> </w:t>
      </w:r>
      <w:r w:rsidRPr="00C576E8">
        <w:rPr>
          <w:rFonts w:hint="cs"/>
          <w:spacing w:val="-5"/>
          <w:rtl/>
        </w:rPr>
        <w:t>عن</w:t>
      </w:r>
      <w:r w:rsidRPr="00C576E8">
        <w:rPr>
          <w:spacing w:val="-5"/>
          <w:rtl/>
        </w:rPr>
        <w:t xml:space="preserve"> </w:t>
      </w:r>
      <w:r w:rsidRPr="00C576E8">
        <w:rPr>
          <w:rFonts w:hint="cs"/>
          <w:spacing w:val="-5"/>
          <w:rtl/>
        </w:rPr>
        <w:t>مشاركة</w:t>
      </w:r>
      <w:r w:rsidRPr="00C576E8">
        <w:rPr>
          <w:spacing w:val="-5"/>
          <w:rtl/>
        </w:rPr>
        <w:t xml:space="preserve"> </w:t>
      </w:r>
      <w:r w:rsidRPr="00C576E8">
        <w:rPr>
          <w:rFonts w:hint="cs"/>
          <w:spacing w:val="-5"/>
          <w:rtl/>
        </w:rPr>
        <w:t>الأقليات</w:t>
      </w:r>
      <w:r w:rsidRPr="00C576E8">
        <w:rPr>
          <w:spacing w:val="-5"/>
          <w:rtl/>
        </w:rPr>
        <w:t xml:space="preserve"> </w:t>
      </w:r>
      <w:r w:rsidRPr="00C576E8">
        <w:rPr>
          <w:rFonts w:hint="cs"/>
          <w:spacing w:val="-5"/>
          <w:rtl/>
        </w:rPr>
        <w:t>الإثنية</w:t>
      </w:r>
      <w:r w:rsidR="0093628F" w:rsidRPr="00C576E8">
        <w:rPr>
          <w:spacing w:val="-5"/>
          <w:rtl/>
        </w:rPr>
        <w:t xml:space="preserve"> </w:t>
      </w:r>
      <w:r w:rsidRPr="00C576E8">
        <w:rPr>
          <w:rFonts w:hint="cs"/>
          <w:spacing w:val="-5"/>
          <w:rtl/>
        </w:rPr>
        <w:t>في</w:t>
      </w:r>
      <w:r w:rsidRPr="00C576E8">
        <w:rPr>
          <w:spacing w:val="-5"/>
          <w:rtl/>
        </w:rPr>
        <w:t xml:space="preserve"> </w:t>
      </w:r>
      <w:r w:rsidRPr="00C576E8">
        <w:rPr>
          <w:rFonts w:hint="cs"/>
          <w:spacing w:val="-5"/>
          <w:rtl/>
        </w:rPr>
        <w:t>الحياة</w:t>
      </w:r>
      <w:r w:rsidRPr="00C576E8">
        <w:rPr>
          <w:spacing w:val="-5"/>
          <w:rtl/>
        </w:rPr>
        <w:t xml:space="preserve"> </w:t>
      </w:r>
      <w:r w:rsidRPr="00C576E8">
        <w:rPr>
          <w:rFonts w:hint="cs"/>
          <w:spacing w:val="-5"/>
          <w:rtl/>
        </w:rPr>
        <w:t>العامة</w:t>
      </w:r>
      <w:r w:rsidRPr="00C576E8">
        <w:rPr>
          <w:spacing w:val="-5"/>
          <w:rtl/>
        </w:rPr>
        <w:t xml:space="preserve"> </w:t>
      </w:r>
      <w:r w:rsidRPr="00C576E8">
        <w:rPr>
          <w:rFonts w:hint="cs"/>
          <w:spacing w:val="-5"/>
          <w:rtl/>
        </w:rPr>
        <w:t>وعن</w:t>
      </w:r>
      <w:r w:rsidRPr="00C576E8">
        <w:rPr>
          <w:spacing w:val="-5"/>
          <w:rtl/>
        </w:rPr>
        <w:t xml:space="preserve"> </w:t>
      </w:r>
      <w:r w:rsidRPr="00C576E8">
        <w:rPr>
          <w:rFonts w:hint="cs"/>
          <w:spacing w:val="-5"/>
          <w:rtl/>
        </w:rPr>
        <w:t>تمثيلها</w:t>
      </w:r>
      <w:r w:rsidRPr="00C576E8">
        <w:rPr>
          <w:spacing w:val="-5"/>
          <w:rtl/>
        </w:rPr>
        <w:t xml:space="preserve"> </w:t>
      </w:r>
      <w:r w:rsidRPr="00C576E8">
        <w:rPr>
          <w:rFonts w:hint="cs"/>
          <w:spacing w:val="-5"/>
          <w:rtl/>
        </w:rPr>
        <w:t>في</w:t>
      </w:r>
      <w:r w:rsidR="00C576E8" w:rsidRPr="00C576E8">
        <w:rPr>
          <w:rFonts w:hint="cs"/>
          <w:spacing w:val="-5"/>
          <w:rtl/>
        </w:rPr>
        <w:t xml:space="preserve"> </w:t>
      </w:r>
      <w:r w:rsidRPr="00C576E8">
        <w:rPr>
          <w:rFonts w:hint="cs"/>
          <w:spacing w:val="-5"/>
          <w:rtl/>
        </w:rPr>
        <w:t>مؤسسات</w:t>
      </w:r>
      <w:r w:rsidRPr="00C576E8">
        <w:rPr>
          <w:spacing w:val="-5"/>
          <w:rtl/>
        </w:rPr>
        <w:t xml:space="preserve"> </w:t>
      </w:r>
      <w:r w:rsidRPr="00C576E8">
        <w:rPr>
          <w:rFonts w:hint="cs"/>
          <w:spacing w:val="-5"/>
          <w:rtl/>
        </w:rPr>
        <w:t>الدولة،</w:t>
      </w:r>
      <w:r w:rsidRPr="00C576E8">
        <w:rPr>
          <w:spacing w:val="-5"/>
          <w:rtl/>
        </w:rPr>
        <w:t xml:space="preserve"> </w:t>
      </w:r>
      <w:r w:rsidRPr="00C576E8">
        <w:rPr>
          <w:rFonts w:hint="cs"/>
          <w:spacing w:val="-5"/>
          <w:rtl/>
        </w:rPr>
        <w:t>بما</w:t>
      </w:r>
      <w:r w:rsidR="00C576E8" w:rsidRPr="00C576E8">
        <w:rPr>
          <w:rFonts w:hint="cs"/>
          <w:spacing w:val="-5"/>
          <w:rtl/>
        </w:rPr>
        <w:t> </w:t>
      </w:r>
      <w:r w:rsidRPr="00C576E8">
        <w:rPr>
          <w:rFonts w:hint="cs"/>
          <w:spacing w:val="-5"/>
          <w:rtl/>
        </w:rPr>
        <w:t>في</w:t>
      </w:r>
      <w:r w:rsidRPr="00C576E8">
        <w:rPr>
          <w:spacing w:val="-5"/>
          <w:rtl/>
        </w:rPr>
        <w:t xml:space="preserve"> </w:t>
      </w:r>
      <w:r w:rsidRPr="00C576E8">
        <w:rPr>
          <w:rFonts w:hint="cs"/>
          <w:spacing w:val="-5"/>
          <w:rtl/>
        </w:rPr>
        <w:t>ذلك</w:t>
      </w:r>
      <w:r w:rsidRPr="00C576E8">
        <w:rPr>
          <w:spacing w:val="-5"/>
          <w:rtl/>
        </w:rPr>
        <w:t xml:space="preserve"> </w:t>
      </w:r>
      <w:r w:rsidRPr="00C576E8">
        <w:rPr>
          <w:rFonts w:hint="cs"/>
          <w:spacing w:val="-5"/>
          <w:rtl/>
        </w:rPr>
        <w:t>بيانات</w:t>
      </w:r>
      <w:r w:rsidRPr="00C576E8">
        <w:rPr>
          <w:spacing w:val="-5"/>
          <w:rtl/>
        </w:rPr>
        <w:t xml:space="preserve"> </w:t>
      </w:r>
      <w:r w:rsidRPr="00C576E8">
        <w:rPr>
          <w:rFonts w:hint="cs"/>
          <w:spacing w:val="-5"/>
          <w:rtl/>
        </w:rPr>
        <w:t>إحصائية</w:t>
      </w:r>
      <w:r w:rsidRPr="00C576E8">
        <w:rPr>
          <w:spacing w:val="-5"/>
          <w:rtl/>
        </w:rPr>
        <w:t xml:space="preserve"> </w:t>
      </w:r>
      <w:r w:rsidRPr="00C576E8">
        <w:rPr>
          <w:rFonts w:hint="cs"/>
          <w:spacing w:val="-5"/>
          <w:rtl/>
        </w:rPr>
        <w:t>عن</w:t>
      </w:r>
      <w:r w:rsidRPr="00C576E8">
        <w:rPr>
          <w:spacing w:val="-5"/>
          <w:rtl/>
        </w:rPr>
        <w:t xml:space="preserve"> </w:t>
      </w:r>
      <w:r w:rsidRPr="00C576E8">
        <w:rPr>
          <w:rFonts w:hint="cs"/>
          <w:spacing w:val="-5"/>
          <w:rtl/>
        </w:rPr>
        <w:t>أفراد</w:t>
      </w:r>
      <w:r w:rsidRPr="00C576E8">
        <w:rPr>
          <w:spacing w:val="-5"/>
          <w:rtl/>
        </w:rPr>
        <w:t xml:space="preserve"> </w:t>
      </w:r>
      <w:r w:rsidRPr="00C576E8">
        <w:rPr>
          <w:rFonts w:hint="cs"/>
          <w:spacing w:val="-5"/>
          <w:rtl/>
        </w:rPr>
        <w:t>مجموعات</w:t>
      </w:r>
      <w:r w:rsidRPr="00C576E8">
        <w:rPr>
          <w:spacing w:val="-5"/>
          <w:rtl/>
        </w:rPr>
        <w:t xml:space="preserve"> </w:t>
      </w:r>
      <w:r w:rsidRPr="00C576E8">
        <w:rPr>
          <w:rFonts w:hint="cs"/>
          <w:spacing w:val="-5"/>
          <w:rtl/>
        </w:rPr>
        <w:t>الأقليات</w:t>
      </w:r>
      <w:r w:rsidRPr="00C576E8">
        <w:rPr>
          <w:spacing w:val="-5"/>
          <w:rtl/>
        </w:rPr>
        <w:t xml:space="preserve"> </w:t>
      </w:r>
      <w:r w:rsidRPr="00C576E8">
        <w:rPr>
          <w:rFonts w:hint="cs"/>
          <w:spacing w:val="-5"/>
          <w:rtl/>
        </w:rPr>
        <w:t>الذين</w:t>
      </w:r>
      <w:r w:rsidRPr="00C576E8">
        <w:rPr>
          <w:spacing w:val="-5"/>
          <w:rtl/>
        </w:rPr>
        <w:t xml:space="preserve"> </w:t>
      </w:r>
      <w:r w:rsidRPr="00C576E8">
        <w:rPr>
          <w:rFonts w:hint="cs"/>
          <w:spacing w:val="-5"/>
          <w:rtl/>
        </w:rPr>
        <w:t>جرى</w:t>
      </w:r>
      <w:r w:rsidRPr="00C576E8">
        <w:rPr>
          <w:spacing w:val="-5"/>
          <w:rtl/>
        </w:rPr>
        <w:t xml:space="preserve"> </w:t>
      </w:r>
      <w:r w:rsidRPr="00C576E8">
        <w:rPr>
          <w:rFonts w:hint="cs"/>
          <w:spacing w:val="-5"/>
          <w:rtl/>
        </w:rPr>
        <w:t>توظيفهم</w:t>
      </w:r>
      <w:r w:rsidRPr="00C576E8">
        <w:rPr>
          <w:spacing w:val="-5"/>
          <w:rtl/>
        </w:rPr>
        <w:t xml:space="preserve"> </w:t>
      </w:r>
      <w:r w:rsidRPr="00C576E8">
        <w:rPr>
          <w:rFonts w:hint="cs"/>
          <w:spacing w:val="-5"/>
          <w:rtl/>
        </w:rPr>
        <w:t>في</w:t>
      </w:r>
      <w:r w:rsidRPr="00C576E8">
        <w:rPr>
          <w:spacing w:val="-5"/>
          <w:rtl/>
        </w:rPr>
        <w:t xml:space="preserve"> </w:t>
      </w:r>
      <w:r w:rsidRPr="00C576E8">
        <w:rPr>
          <w:rFonts w:hint="cs"/>
          <w:spacing w:val="-5"/>
          <w:rtl/>
        </w:rPr>
        <w:t>الهيئات</w:t>
      </w:r>
      <w:r w:rsidRPr="00C576E8">
        <w:rPr>
          <w:spacing w:val="-5"/>
          <w:rtl/>
        </w:rPr>
        <w:t xml:space="preserve"> </w:t>
      </w:r>
      <w:r w:rsidRPr="00C576E8">
        <w:rPr>
          <w:rFonts w:hint="cs"/>
          <w:spacing w:val="-5"/>
          <w:rtl/>
        </w:rPr>
        <w:t>والمؤسسات</w:t>
      </w:r>
      <w:r w:rsidRPr="00C576E8">
        <w:rPr>
          <w:spacing w:val="-5"/>
          <w:rtl/>
        </w:rPr>
        <w:t xml:space="preserve"> </w:t>
      </w:r>
      <w:r w:rsidRPr="00C576E8">
        <w:rPr>
          <w:rFonts w:hint="cs"/>
          <w:spacing w:val="-5"/>
          <w:rtl/>
        </w:rPr>
        <w:t>والإدارات</w:t>
      </w:r>
      <w:r w:rsidRPr="00C576E8">
        <w:rPr>
          <w:spacing w:val="-5"/>
          <w:rtl/>
        </w:rPr>
        <w:t xml:space="preserve"> </w:t>
      </w:r>
      <w:r w:rsidRPr="00C576E8">
        <w:rPr>
          <w:rFonts w:hint="cs"/>
          <w:spacing w:val="-5"/>
          <w:rtl/>
        </w:rPr>
        <w:t>العمومية</w:t>
      </w:r>
      <w:r w:rsidRPr="00C576E8">
        <w:rPr>
          <w:spacing w:val="-5"/>
          <w:rtl/>
        </w:rPr>
        <w:t xml:space="preserve"> </w:t>
      </w:r>
      <w:r w:rsidRPr="00C576E8">
        <w:rPr>
          <w:rFonts w:hint="cs"/>
          <w:spacing w:val="-5"/>
          <w:rtl/>
        </w:rPr>
        <w:t>على</w:t>
      </w:r>
      <w:r w:rsidRPr="00C576E8">
        <w:rPr>
          <w:spacing w:val="-5"/>
          <w:rtl/>
        </w:rPr>
        <w:t xml:space="preserve"> </w:t>
      </w:r>
      <w:r w:rsidRPr="00C576E8">
        <w:rPr>
          <w:rFonts w:hint="cs"/>
          <w:spacing w:val="-5"/>
          <w:rtl/>
        </w:rPr>
        <w:t>جميع</w:t>
      </w:r>
      <w:r w:rsidRPr="00C576E8">
        <w:rPr>
          <w:spacing w:val="-5"/>
          <w:rtl/>
        </w:rPr>
        <w:t xml:space="preserve"> </w:t>
      </w:r>
      <w:r w:rsidRPr="00C576E8">
        <w:rPr>
          <w:rFonts w:hint="cs"/>
          <w:spacing w:val="-5"/>
          <w:rtl/>
        </w:rPr>
        <w:t>المستويات</w:t>
      </w:r>
      <w:r w:rsidRPr="00C576E8">
        <w:rPr>
          <w:spacing w:val="-5"/>
          <w:rtl/>
        </w:rPr>
        <w:t xml:space="preserve"> (</w:t>
      </w:r>
      <w:r w:rsidRPr="00C576E8">
        <w:rPr>
          <w:spacing w:val="-5"/>
        </w:rPr>
        <w:t>CERD/C/OMN/CO/1</w:t>
      </w:r>
      <w:r w:rsidR="0024318B">
        <w:rPr>
          <w:spacing w:val="-5"/>
          <w:rtl/>
        </w:rPr>
        <w:t>، الفقرات 34-37)</w:t>
      </w:r>
      <w:r w:rsidR="0024318B">
        <w:rPr>
          <w:rFonts w:hint="cs"/>
          <w:spacing w:val="-5"/>
          <w:rtl/>
        </w:rPr>
        <w:t>.</w:t>
      </w:r>
    </w:p>
    <w:p w:rsidR="009542AA" w:rsidRDefault="009542AA" w:rsidP="009542AA">
      <w:pPr>
        <w:pStyle w:val="H23GA"/>
      </w:pPr>
      <w:r>
        <w:rPr>
          <w:rFonts w:hint="cs"/>
          <w:rtl/>
        </w:rPr>
        <w:tab/>
      </w:r>
      <w:r>
        <w:rPr>
          <w:rFonts w:hint="cs"/>
          <w:rtl/>
        </w:rPr>
        <w:tab/>
      </w:r>
      <w:r>
        <w:rPr>
          <w:rtl/>
        </w:rPr>
        <w:t>حالة غير المواطنين، بمن فيهم اللاجئون وملتمسو اللجوء (المادتان 5 و7)</w:t>
      </w:r>
    </w:p>
    <w:p w:rsidR="009542AA" w:rsidRDefault="009542AA" w:rsidP="00610559">
      <w:pPr>
        <w:pStyle w:val="SingleTxtGA"/>
        <w:spacing w:after="100" w:line="376" w:lineRule="exact"/>
      </w:pPr>
      <w:r>
        <w:rPr>
          <w:rtl/>
        </w:rPr>
        <w:t>١١</w:t>
      </w:r>
      <w:r>
        <w:rPr>
          <w:rFonts w:hint="cs"/>
          <w:rtl/>
        </w:rPr>
        <w:t>-</w:t>
      </w:r>
      <w:r>
        <w:rPr>
          <w:rFonts w:hint="cs"/>
          <w:rtl/>
        </w:rPr>
        <w:tab/>
      </w:r>
      <w:r>
        <w:rPr>
          <w:rtl/>
        </w:rPr>
        <w:t>بيانات إحصائية عن أعداد غير المواطنين، بمن فيهم عديمو الجنسية والمهاجرون واللاجئون وطالبو اللجوء في الدولة الطرف.</w:t>
      </w:r>
    </w:p>
    <w:p w:rsidR="009542AA" w:rsidRDefault="009542AA" w:rsidP="00610559">
      <w:pPr>
        <w:pStyle w:val="SingleTxtGA"/>
        <w:spacing w:after="100" w:line="376" w:lineRule="exact"/>
      </w:pPr>
      <w:r>
        <w:rPr>
          <w:rtl/>
        </w:rPr>
        <w:t>١٢</w:t>
      </w:r>
      <w:r>
        <w:rPr>
          <w:rFonts w:hint="cs"/>
          <w:rtl/>
        </w:rPr>
        <w:t>-</w:t>
      </w:r>
      <w:r>
        <w:rPr>
          <w:rFonts w:hint="cs"/>
          <w:rtl/>
        </w:rPr>
        <w:tab/>
      </w:r>
      <w:r>
        <w:rPr>
          <w:rtl/>
        </w:rPr>
        <w:t>بيانات إحصائية محدثة بشأن التحويلات المرسلة من العمال الأجانب إلى بلدانهم (</w:t>
      </w:r>
      <w:r>
        <w:t>CERD/C/ARE/18-21</w:t>
      </w:r>
      <w:r w:rsidR="00341DC0">
        <w:rPr>
          <w:rFonts w:hint="cs"/>
          <w:rtl/>
        </w:rPr>
        <w:t>،</w:t>
      </w:r>
      <w:r>
        <w:rPr>
          <w:rtl/>
        </w:rPr>
        <w:t xml:space="preserve"> الفقرة ٩٤).</w:t>
      </w:r>
    </w:p>
    <w:p w:rsidR="009542AA" w:rsidRPr="00D7058C" w:rsidRDefault="009542AA" w:rsidP="00610559">
      <w:pPr>
        <w:pStyle w:val="SingleTxtGA"/>
        <w:spacing w:after="100" w:line="376" w:lineRule="exact"/>
        <w:rPr>
          <w:spacing w:val="-6"/>
        </w:rPr>
      </w:pPr>
      <w:r w:rsidRPr="00D7058C">
        <w:rPr>
          <w:spacing w:val="-6"/>
          <w:rtl/>
        </w:rPr>
        <w:t>١٣</w:t>
      </w:r>
      <w:r w:rsidRPr="00D7058C">
        <w:rPr>
          <w:rFonts w:hint="cs"/>
          <w:spacing w:val="-6"/>
          <w:rtl/>
        </w:rPr>
        <w:t>-</w:t>
      </w:r>
      <w:r w:rsidRPr="00D7058C">
        <w:rPr>
          <w:rFonts w:hint="cs"/>
          <w:spacing w:val="-6"/>
          <w:rtl/>
        </w:rPr>
        <w:tab/>
      </w:r>
      <w:r w:rsidRPr="00D7058C">
        <w:rPr>
          <w:spacing w:val="-6"/>
          <w:rtl/>
        </w:rPr>
        <w:t>معلومات مستوفاة عن التدابير ال</w:t>
      </w:r>
      <w:r w:rsidR="00D7058C">
        <w:rPr>
          <w:spacing w:val="-6"/>
          <w:rtl/>
        </w:rPr>
        <w:t xml:space="preserve">متخذة لضمان تمتع غير المواطنين </w:t>
      </w:r>
      <w:r w:rsidRPr="00D7058C">
        <w:rPr>
          <w:spacing w:val="-6"/>
          <w:rtl/>
        </w:rPr>
        <w:t>ب</w:t>
      </w:r>
      <w:r w:rsidR="00D7058C" w:rsidRPr="00D7058C">
        <w:rPr>
          <w:spacing w:val="-6"/>
          <w:rtl/>
        </w:rPr>
        <w:t>الحقوق المكفولة بموجب الاتفاقية</w:t>
      </w:r>
      <w:r w:rsidRPr="00D7058C">
        <w:rPr>
          <w:spacing w:val="-6"/>
          <w:rtl/>
        </w:rPr>
        <w:t>، دون أي تمييز، وبشأن تنفيذ وأثر تلك التدابير (</w:t>
      </w:r>
      <w:r w:rsidRPr="00D7058C">
        <w:rPr>
          <w:spacing w:val="-6"/>
        </w:rPr>
        <w:t>CERD/C/ARE/18-21</w:t>
      </w:r>
      <w:r w:rsidR="000C2FA1">
        <w:rPr>
          <w:rFonts w:hint="cs"/>
          <w:spacing w:val="-6"/>
          <w:rtl/>
        </w:rPr>
        <w:t>،</w:t>
      </w:r>
      <w:r w:rsidR="000C2FA1" w:rsidRPr="000C2FA1">
        <w:rPr>
          <w:spacing w:val="-6"/>
          <w:rtl/>
        </w:rPr>
        <w:t xml:space="preserve"> </w:t>
      </w:r>
      <w:r w:rsidR="000C2FA1" w:rsidRPr="00D7058C">
        <w:rPr>
          <w:spacing w:val="-6"/>
          <w:rtl/>
        </w:rPr>
        <w:t>الفقرة ٢١</w:t>
      </w:r>
      <w:r w:rsidRPr="00D7058C">
        <w:rPr>
          <w:spacing w:val="-6"/>
          <w:rtl/>
        </w:rPr>
        <w:t>).</w:t>
      </w:r>
    </w:p>
    <w:p w:rsidR="009542AA" w:rsidRDefault="009542AA" w:rsidP="00610559">
      <w:pPr>
        <w:pStyle w:val="SingleTxtGA"/>
        <w:spacing w:after="100" w:line="376" w:lineRule="exact"/>
      </w:pPr>
      <w:r>
        <w:rPr>
          <w:rtl/>
        </w:rPr>
        <w:t>١٤</w:t>
      </w:r>
      <w:r>
        <w:rPr>
          <w:rFonts w:hint="cs"/>
          <w:rtl/>
        </w:rPr>
        <w:t>-</w:t>
      </w:r>
      <w:r>
        <w:rPr>
          <w:rFonts w:hint="cs"/>
          <w:rtl/>
        </w:rPr>
        <w:tab/>
      </w:r>
      <w:r>
        <w:rPr>
          <w:rtl/>
        </w:rPr>
        <w:t>معلومات مستوفاة عن التدابير المتخذة لوضع حد</w:t>
      </w:r>
      <w:r w:rsidR="0093628F">
        <w:rPr>
          <w:rtl/>
        </w:rPr>
        <w:t xml:space="preserve"> </w:t>
      </w:r>
      <w:r>
        <w:rPr>
          <w:rtl/>
        </w:rPr>
        <w:t xml:space="preserve">لنظام الكفالة وضمان حقوق جميع العمال المهاجرين بموجب الاتفاقية؛ معلومات عن تنفيذ وأثر التدابير المتخذة لحماية العمال </w:t>
      </w:r>
      <w:r>
        <w:rPr>
          <w:rtl/>
        </w:rPr>
        <w:lastRenderedPageBreak/>
        <w:t>المهاجرين من السخرة والممارسات ذات الصلة (</w:t>
      </w:r>
      <w:r>
        <w:t>CERD/C/ARE/18-21</w:t>
      </w:r>
      <w:r>
        <w:rPr>
          <w:rtl/>
        </w:rPr>
        <w:t>، الفقرات</w:t>
      </w:r>
      <w:r>
        <w:rPr>
          <w:rFonts w:hint="cs"/>
          <w:rtl/>
        </w:rPr>
        <w:t xml:space="preserve"> </w:t>
      </w:r>
      <w:r>
        <w:rPr>
          <w:rtl/>
        </w:rPr>
        <w:t xml:space="preserve">٩٤-127؛ </w:t>
      </w:r>
      <w:r>
        <w:t>CERD/C/ARE/CO/17</w:t>
      </w:r>
      <w:r w:rsidR="00D7058C">
        <w:rPr>
          <w:rtl/>
        </w:rPr>
        <w:t xml:space="preserve">، الفقرة </w:t>
      </w:r>
      <w:r>
        <w:rPr>
          <w:rtl/>
        </w:rPr>
        <w:t>15).</w:t>
      </w:r>
    </w:p>
    <w:p w:rsidR="009542AA" w:rsidRDefault="009542AA" w:rsidP="008E3BF2">
      <w:pPr>
        <w:pStyle w:val="SingleTxtGA"/>
      </w:pPr>
      <w:r>
        <w:rPr>
          <w:rtl/>
        </w:rPr>
        <w:t>١٥</w:t>
      </w:r>
      <w:r>
        <w:rPr>
          <w:rFonts w:hint="cs"/>
          <w:rtl/>
        </w:rPr>
        <w:t>-</w:t>
      </w:r>
      <w:r>
        <w:rPr>
          <w:rFonts w:hint="cs"/>
          <w:rtl/>
        </w:rPr>
        <w:tab/>
      </w:r>
      <w:r>
        <w:rPr>
          <w:rtl/>
        </w:rPr>
        <w:t>معلومات عن التدابير المتخذة لحماية العمال المنزليين وضمان جميع حقوقهم المكفولة بموجب الاتفاقية (</w:t>
      </w:r>
      <w:r>
        <w:t>CERD/C/ARE/18-21</w:t>
      </w:r>
      <w:r>
        <w:rPr>
          <w:rtl/>
        </w:rPr>
        <w:t>، الفقرات</w:t>
      </w:r>
      <w:r w:rsidR="008E3BF2">
        <w:rPr>
          <w:rtl/>
        </w:rPr>
        <w:t xml:space="preserve"> ١٢٨</w:t>
      </w:r>
      <w:r>
        <w:rPr>
          <w:rtl/>
        </w:rPr>
        <w:t xml:space="preserve">-130؛ </w:t>
      </w:r>
      <w:r>
        <w:t>CERD/C/ARE/CO/17</w:t>
      </w:r>
      <w:r>
        <w:rPr>
          <w:rtl/>
        </w:rPr>
        <w:t>، الفقرة 16).</w:t>
      </w:r>
    </w:p>
    <w:p w:rsidR="009542AA" w:rsidRDefault="009542AA" w:rsidP="009542AA">
      <w:pPr>
        <w:pStyle w:val="SingleTxtGA"/>
      </w:pPr>
      <w:r>
        <w:rPr>
          <w:rtl/>
        </w:rPr>
        <w:t>١٦</w:t>
      </w:r>
      <w:r>
        <w:rPr>
          <w:rFonts w:hint="cs"/>
          <w:rtl/>
        </w:rPr>
        <w:t>-</w:t>
      </w:r>
      <w:r>
        <w:rPr>
          <w:rFonts w:hint="cs"/>
          <w:rtl/>
        </w:rPr>
        <w:tab/>
      </w:r>
      <w:r>
        <w:rPr>
          <w:rtl/>
        </w:rPr>
        <w:t>معلومات مستوفاة عن أوضاع البدون في الدولة الطرف،</w:t>
      </w:r>
      <w:r w:rsidR="0093628F">
        <w:rPr>
          <w:rtl/>
        </w:rPr>
        <w:t xml:space="preserve"> </w:t>
      </w:r>
      <w:r>
        <w:rPr>
          <w:rtl/>
        </w:rPr>
        <w:t>وخاصة</w:t>
      </w:r>
      <w:r w:rsidR="0093628F">
        <w:rPr>
          <w:rtl/>
        </w:rPr>
        <w:t xml:space="preserve"> </w:t>
      </w:r>
      <w:r>
        <w:rPr>
          <w:rtl/>
        </w:rPr>
        <w:t>عن التدابير المتخذة لمعالجة وضع الأشخاص عديمي الجنسية وضمان حصولهم على الرعاية الصحية والتعليم والعمل دون تمييز (</w:t>
      </w:r>
      <w:r>
        <w:t>CERD/C/ARE/CO/17</w:t>
      </w:r>
      <w:r>
        <w:rPr>
          <w:rtl/>
        </w:rPr>
        <w:t>، الفقرة ١٨).</w:t>
      </w:r>
    </w:p>
    <w:p w:rsidR="009542AA" w:rsidRDefault="009542AA" w:rsidP="00947EDB">
      <w:pPr>
        <w:pStyle w:val="SingleTxtGA"/>
      </w:pPr>
      <w:r>
        <w:rPr>
          <w:rtl/>
        </w:rPr>
        <w:t>١٧</w:t>
      </w:r>
      <w:r w:rsidRPr="000C2FA1">
        <w:rPr>
          <w:rFonts w:hint="cs"/>
          <w:spacing w:val="-4"/>
          <w:rtl/>
        </w:rPr>
        <w:t>-</w:t>
      </w:r>
      <w:r w:rsidRPr="000C2FA1">
        <w:rPr>
          <w:rFonts w:hint="cs"/>
          <w:spacing w:val="-4"/>
          <w:rtl/>
        </w:rPr>
        <w:tab/>
      </w:r>
      <w:r w:rsidRPr="000C2FA1">
        <w:rPr>
          <w:spacing w:val="-4"/>
          <w:rtl/>
        </w:rPr>
        <w:t>معلومات عن تنفيذ وأثر التوجيهات الملكية الصادر في 2</w:t>
      </w:r>
      <w:r w:rsidR="00E21FA2">
        <w:rPr>
          <w:rFonts w:hint="cs"/>
          <w:spacing w:val="-4"/>
          <w:rtl/>
        </w:rPr>
        <w:t xml:space="preserve"> </w:t>
      </w:r>
      <w:r w:rsidRPr="000C2FA1">
        <w:rPr>
          <w:spacing w:val="-4"/>
          <w:rtl/>
        </w:rPr>
        <w:t>كانون الأول/ديسمبر ٢٠١١</w:t>
      </w:r>
      <w:r w:rsidR="000C2FA1">
        <w:rPr>
          <w:rtl/>
        </w:rPr>
        <w:t xml:space="preserve"> بشأن </w:t>
      </w:r>
      <w:r>
        <w:rPr>
          <w:rtl/>
        </w:rPr>
        <w:t>منح الجنسية لأطفال المواطنات المتزوجات من أجانب؛ معلومات بشأن حق في الجنسية</w:t>
      </w:r>
      <w:r w:rsidR="00947EDB">
        <w:rPr>
          <w:rFonts w:hint="cs"/>
          <w:rtl/>
        </w:rPr>
        <w:t> </w:t>
      </w:r>
      <w:r>
        <w:rPr>
          <w:rtl/>
        </w:rPr>
        <w:t>النساء الأجنبيات المتزوجات من رجال إماراتيين في الجنسية (</w:t>
      </w:r>
      <w:r>
        <w:t>CERD/C/ARE/18-21</w:t>
      </w:r>
      <w:r w:rsidR="00F058CD">
        <w:rPr>
          <w:rtl/>
        </w:rPr>
        <w:t>، الفقرات ١٣١</w:t>
      </w:r>
      <w:r>
        <w:rPr>
          <w:rtl/>
        </w:rPr>
        <w:t>-132)</w:t>
      </w:r>
      <w:r w:rsidR="00F058CD">
        <w:rPr>
          <w:rFonts w:hint="cs"/>
          <w:rtl/>
        </w:rPr>
        <w:t>.</w:t>
      </w:r>
    </w:p>
    <w:p w:rsidR="009542AA" w:rsidRDefault="009542AA" w:rsidP="009542AA">
      <w:pPr>
        <w:pStyle w:val="SingleTxtGA"/>
      </w:pPr>
      <w:r>
        <w:rPr>
          <w:rtl/>
        </w:rPr>
        <w:t>١٨</w:t>
      </w:r>
      <w:r>
        <w:rPr>
          <w:rFonts w:hint="cs"/>
          <w:rtl/>
        </w:rPr>
        <w:t>-</w:t>
      </w:r>
      <w:r>
        <w:rPr>
          <w:rFonts w:hint="cs"/>
          <w:rtl/>
        </w:rPr>
        <w:tab/>
      </w:r>
      <w:r>
        <w:rPr>
          <w:rtl/>
        </w:rPr>
        <w:t>معلومات عن التدابير المتخذة لتقليل ومنع حالات انعدام الجنسية في الدولة الطرف وأثر تلك التدابير.</w:t>
      </w:r>
    </w:p>
    <w:p w:rsidR="009542AA" w:rsidRDefault="009542AA" w:rsidP="00F058CD">
      <w:pPr>
        <w:pStyle w:val="SingleTxtGA"/>
      </w:pPr>
      <w:r>
        <w:rPr>
          <w:rtl/>
        </w:rPr>
        <w:t>١٩</w:t>
      </w:r>
      <w:r>
        <w:rPr>
          <w:rFonts w:hint="cs"/>
          <w:rtl/>
        </w:rPr>
        <w:t>-</w:t>
      </w:r>
      <w:r>
        <w:rPr>
          <w:rFonts w:hint="cs"/>
          <w:rtl/>
        </w:rPr>
        <w:tab/>
      </w:r>
      <w:r>
        <w:rPr>
          <w:rtl/>
        </w:rPr>
        <w:t>معلومات مستوفاة عن الجهود المبذولة لتعزيز القانون الاتحادي رقم ٥١ الصادر عام</w:t>
      </w:r>
      <w:r w:rsidR="00F058CD">
        <w:rPr>
          <w:rFonts w:hint="eastAsia"/>
          <w:rtl/>
        </w:rPr>
        <w:t> </w:t>
      </w:r>
      <w:r>
        <w:rPr>
          <w:rtl/>
        </w:rPr>
        <w:t>٢٠٠٦ بشأن مكافحة الاتجار بالبشر وتنفيذ ذلك</w:t>
      </w:r>
      <w:r w:rsidR="0093628F">
        <w:rPr>
          <w:rtl/>
        </w:rPr>
        <w:t xml:space="preserve"> </w:t>
      </w:r>
      <w:r>
        <w:rPr>
          <w:rtl/>
        </w:rPr>
        <w:t>القانون ومقاضاة وإدانة ومعاقبة المتجرين بالبشر في الدولة الطرف؛ معلومات عن التدابير الأخرى المتخذة لمنع الاتجار بالبشر وحماية الضحايا في الدولة الطرف (</w:t>
      </w:r>
      <w:r>
        <w:t>CERD/C/ARE/18-21</w:t>
      </w:r>
      <w:r>
        <w:rPr>
          <w:rtl/>
        </w:rPr>
        <w:t>، الفقرات ١٠٨</w:t>
      </w:r>
      <w:r w:rsidR="00F058CD">
        <w:rPr>
          <w:rtl/>
        </w:rPr>
        <w:t xml:space="preserve"> و١١٩</w:t>
      </w:r>
      <w:r>
        <w:rPr>
          <w:rtl/>
        </w:rPr>
        <w:t>-120)</w:t>
      </w:r>
      <w:r w:rsidR="000B374B">
        <w:rPr>
          <w:rFonts w:hint="cs"/>
          <w:rtl/>
        </w:rPr>
        <w:t>.</w:t>
      </w:r>
    </w:p>
    <w:p w:rsidR="009542AA" w:rsidRDefault="009542AA" w:rsidP="009542AA">
      <w:pPr>
        <w:pStyle w:val="H23GA"/>
      </w:pPr>
      <w:r>
        <w:rPr>
          <w:rFonts w:hint="cs"/>
          <w:rtl/>
        </w:rPr>
        <w:tab/>
      </w:r>
      <w:r>
        <w:rPr>
          <w:rFonts w:hint="cs"/>
          <w:rtl/>
        </w:rPr>
        <w:tab/>
      </w:r>
      <w:r>
        <w:rPr>
          <w:rtl/>
        </w:rPr>
        <w:t>التدريب والتثقيف وغير ذلك من التدابير الرامية إلى مكافحة التمييز (المادة 7)</w:t>
      </w:r>
    </w:p>
    <w:p w:rsidR="009542AA" w:rsidRDefault="009542AA" w:rsidP="006A0F6B">
      <w:pPr>
        <w:pStyle w:val="SingleTxtGA"/>
        <w:rPr>
          <w:rtl/>
        </w:rPr>
      </w:pPr>
      <w:r>
        <w:rPr>
          <w:rtl/>
        </w:rPr>
        <w:t>٢٠</w:t>
      </w:r>
      <w:r>
        <w:rPr>
          <w:rFonts w:hint="cs"/>
          <w:rtl/>
        </w:rPr>
        <w:t>-</w:t>
      </w:r>
      <w:r>
        <w:rPr>
          <w:rFonts w:hint="cs"/>
          <w:rtl/>
        </w:rPr>
        <w:tab/>
      </w:r>
      <w:r>
        <w:rPr>
          <w:rtl/>
        </w:rPr>
        <w:t>استكمال معلومات مفصلة بشأن التدريب على منع التمييز العنصري والحقوق المكرسة في الاتفاقية لفائدة موظفي إنفاذ القانون والقضاة والمحامين فضلا</w:t>
      </w:r>
      <w:r w:rsidR="006A0F6B">
        <w:rPr>
          <w:rFonts w:hint="cs"/>
          <w:rtl/>
        </w:rPr>
        <w:t>ً</w:t>
      </w:r>
      <w:r>
        <w:rPr>
          <w:rtl/>
        </w:rPr>
        <w:t xml:space="preserve"> عن ممثلي هيئات الدولة، وكيانات الحكم المحلي والجمعيات المحلية (</w:t>
      </w:r>
      <w:r>
        <w:t>CERD/C/ARE/18-21</w:t>
      </w:r>
      <w:r>
        <w:rPr>
          <w:rtl/>
        </w:rPr>
        <w:t>، الفقرات ٣٣ و</w:t>
      </w:r>
      <w:r w:rsidR="007E118B">
        <w:rPr>
          <w:rtl/>
        </w:rPr>
        <w:t>٨٤</w:t>
      </w:r>
      <w:r>
        <w:rPr>
          <w:rtl/>
        </w:rPr>
        <w:t>-91)</w:t>
      </w:r>
      <w:r w:rsidR="00502C59">
        <w:rPr>
          <w:rFonts w:hint="cs"/>
          <w:rtl/>
        </w:rPr>
        <w:t>.</w:t>
      </w:r>
    </w:p>
    <w:p w:rsidR="009542AA" w:rsidRPr="00F058CD" w:rsidRDefault="00F058CD" w:rsidP="00F058CD">
      <w:pPr>
        <w:spacing w:before="120"/>
        <w:jc w:val="center"/>
        <w:rPr>
          <w:u w:val="single"/>
        </w:rPr>
      </w:pPr>
      <w:r>
        <w:rPr>
          <w:u w:val="single"/>
          <w:rtl/>
        </w:rPr>
        <w:tab/>
      </w:r>
      <w:r>
        <w:rPr>
          <w:u w:val="single"/>
          <w:rtl/>
        </w:rPr>
        <w:tab/>
      </w:r>
      <w:r>
        <w:rPr>
          <w:u w:val="single"/>
          <w:rtl/>
        </w:rPr>
        <w:tab/>
      </w:r>
    </w:p>
    <w:sectPr w:rsidR="009542AA" w:rsidRPr="00F058CD" w:rsidSect="006B2A0C">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2DD" w:rsidRPr="002901D9" w:rsidRDefault="008B72DD" w:rsidP="002901D9">
      <w:pPr>
        <w:spacing w:after="60" w:line="240" w:lineRule="auto"/>
        <w:rPr>
          <w:i/>
          <w:iCs/>
        </w:rPr>
      </w:pPr>
      <w:r>
        <w:rPr>
          <w:rFonts w:hint="cs"/>
          <w:i/>
          <w:iCs/>
          <w:rtl/>
        </w:rPr>
        <w:t>الحواشي</w:t>
      </w:r>
    </w:p>
  </w:endnote>
  <w:endnote w:type="continuationSeparator" w:id="0">
    <w:p w:rsidR="008B72DD" w:rsidRDefault="008B72DD"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A0C" w:rsidRPr="009542AA" w:rsidRDefault="009542AA" w:rsidP="009542AA">
    <w:pPr>
      <w:pStyle w:val="Footer"/>
      <w:tabs>
        <w:tab w:val="right" w:pos="9598"/>
      </w:tabs>
      <w:rPr>
        <w:sz w:val="17"/>
      </w:rPr>
    </w:pPr>
    <w:r>
      <w:rPr>
        <w:sz w:val="17"/>
      </w:rPr>
      <w:t>GE.17-08297</w:t>
    </w:r>
    <w:r>
      <w:rPr>
        <w:sz w:val="17"/>
      </w:rPr>
      <w:tab/>
    </w:r>
    <w:r w:rsidRPr="009542AA">
      <w:rPr>
        <w:b/>
        <w:sz w:val="18"/>
      </w:rPr>
      <w:fldChar w:fldCharType="begin"/>
    </w:r>
    <w:r w:rsidRPr="009542AA">
      <w:rPr>
        <w:b/>
        <w:sz w:val="18"/>
      </w:rPr>
      <w:instrText xml:space="preserve"> PAGE  \* MERGEFORMAT </w:instrText>
    </w:r>
    <w:r w:rsidRPr="009542AA">
      <w:rPr>
        <w:b/>
        <w:sz w:val="18"/>
      </w:rPr>
      <w:fldChar w:fldCharType="separate"/>
    </w:r>
    <w:r w:rsidR="003B2F6A">
      <w:rPr>
        <w:b/>
        <w:noProof/>
        <w:sz w:val="18"/>
      </w:rPr>
      <w:t>2</w:t>
    </w:r>
    <w:r w:rsidRPr="009542AA">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9B0" w:rsidRPr="009542AA" w:rsidRDefault="009542AA" w:rsidP="006959B0">
    <w:pPr>
      <w:pStyle w:val="Footer"/>
      <w:tabs>
        <w:tab w:val="right" w:pos="9599"/>
      </w:tabs>
      <w:jc w:val="left"/>
      <w:rPr>
        <w:b/>
        <w:sz w:val="18"/>
        <w:lang w:val="en-US"/>
      </w:rPr>
    </w:pPr>
    <w:r w:rsidRPr="009542AA">
      <w:rPr>
        <w:b/>
        <w:sz w:val="18"/>
        <w:lang w:val="en-US"/>
      </w:rPr>
      <w:fldChar w:fldCharType="begin"/>
    </w:r>
    <w:r w:rsidRPr="009542AA">
      <w:rPr>
        <w:b/>
        <w:sz w:val="18"/>
        <w:lang w:val="en-US"/>
      </w:rPr>
      <w:instrText xml:space="preserve"> PAGE  \* MERGEFORMAT </w:instrText>
    </w:r>
    <w:r w:rsidRPr="009542AA">
      <w:rPr>
        <w:b/>
        <w:sz w:val="18"/>
        <w:lang w:val="en-US"/>
      </w:rPr>
      <w:fldChar w:fldCharType="separate"/>
    </w:r>
    <w:r w:rsidR="003B2F6A">
      <w:rPr>
        <w:b/>
        <w:noProof/>
        <w:sz w:val="18"/>
        <w:lang w:val="en-US"/>
      </w:rPr>
      <w:t>3</w:t>
    </w:r>
    <w:r w:rsidRPr="009542AA">
      <w:rPr>
        <w:b/>
        <w:sz w:val="18"/>
        <w:lang w:val="en-US"/>
      </w:rPr>
      <w:fldChar w:fldCharType="end"/>
    </w:r>
    <w:r>
      <w:rPr>
        <w:b/>
        <w:sz w:val="18"/>
        <w:lang w:val="en-US"/>
      </w:rPr>
      <w:tab/>
    </w:r>
    <w:r>
      <w:rPr>
        <w:sz w:val="17"/>
        <w:lang w:val="en-US"/>
      </w:rPr>
      <w:t>GE.17-08297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D54" w:rsidRDefault="006B2A0C" w:rsidP="00912700">
    <w:pPr>
      <w:pStyle w:val="Footer"/>
      <w:spacing w:before="360"/>
      <w:jc w:val="right"/>
      <w:rPr>
        <w:sz w:val="20"/>
        <w:szCs w:val="20"/>
      </w:rPr>
    </w:pPr>
    <w:r>
      <w:rPr>
        <w:sz w:val="20"/>
        <w:szCs w:val="20"/>
      </w:rPr>
      <w:t>GE.17-08297</w:t>
    </w:r>
    <w:r w:rsidR="00156D54">
      <w:rPr>
        <w:noProof/>
        <w:lang w:val="en-US"/>
      </w:rPr>
      <w:drawing>
        <wp:anchor distT="0" distB="0" distL="114300" distR="114300" simplePos="0" relativeHeight="251659264" behindDoc="1" locked="1" layoutInCell="0" allowOverlap="1" wp14:anchorId="717CD9B5" wp14:editId="5DB8F255">
          <wp:simplePos x="0" y="0"/>
          <wp:positionH relativeFrom="margin">
            <wp:posOffset>706755</wp:posOffset>
          </wp:positionH>
          <wp:positionV relativeFrom="page">
            <wp:posOffset>9901555</wp:posOffset>
          </wp:positionV>
          <wp:extent cx="1162800" cy="324000"/>
          <wp:effectExtent l="0" t="0" r="0" b="0"/>
          <wp:wrapTight wrapText="bothSides">
            <wp:wrapPolygon edited="0">
              <wp:start x="0" y="0"/>
              <wp:lineTo x="0" y="20329"/>
              <wp:lineTo x="21234" y="20329"/>
              <wp:lineTo x="21234"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800" cy="3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6D54" w:rsidRPr="007A0286">
      <w:rPr>
        <w:sz w:val="20"/>
        <w:szCs w:val="20"/>
      </w:rPr>
      <w:t>(A)</w:t>
    </w:r>
  </w:p>
  <w:p w:rsidR="006B2A0C" w:rsidRPr="006B2A0C" w:rsidRDefault="006B2A0C" w:rsidP="006B2A0C">
    <w:pPr>
      <w:pStyle w:val="Footer"/>
      <w:jc w:val="right"/>
      <w:rPr>
        <w:rFonts w:ascii="C39T30Lfz" w:hAnsi="C39T30Lfz"/>
        <w:sz w:val="56"/>
        <w:szCs w:val="20"/>
      </w:rPr>
    </w:pP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noProof/>
        <w:sz w:val="56"/>
        <w:szCs w:val="20"/>
        <w:lang w:val="en-US"/>
      </w:rPr>
      <w:drawing>
        <wp:anchor distT="0" distB="0" distL="114300" distR="114300" simplePos="0" relativeHeight="251660288" behindDoc="0" locked="0" layoutInCell="1" allowOverlap="1" wp14:anchorId="1B359134" wp14:editId="71104810">
          <wp:simplePos x="0" y="0"/>
          <wp:positionH relativeFrom="page">
            <wp:posOffset>719455</wp:posOffset>
          </wp:positionH>
          <wp:positionV relativeFrom="page">
            <wp:posOffset>9611995</wp:posOffset>
          </wp:positionV>
          <wp:extent cx="638175" cy="6381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2DD" w:rsidRDefault="008B72DD" w:rsidP="00CB28F9">
      <w:pPr>
        <w:pStyle w:val="Footer"/>
        <w:bidi/>
        <w:spacing w:after="80" w:line="200" w:lineRule="exact"/>
        <w:ind w:left="680"/>
      </w:pPr>
      <w:r>
        <w:rPr>
          <w:rtl/>
        </w:rPr>
        <w:t>__________</w:t>
      </w:r>
    </w:p>
    <w:p w:rsidR="008B72DD" w:rsidRPr="00CB28F9" w:rsidRDefault="008B72DD" w:rsidP="00CB28F9">
      <w:pPr>
        <w:pStyle w:val="Footer"/>
      </w:pPr>
    </w:p>
  </w:footnote>
  <w:footnote w:type="continuationSeparator" w:id="0">
    <w:p w:rsidR="008B72DD" w:rsidRDefault="008B72DD" w:rsidP="00656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A0C" w:rsidRPr="009542AA" w:rsidRDefault="009542AA" w:rsidP="009542AA">
    <w:pPr>
      <w:pStyle w:val="Header"/>
      <w:jc w:val="right"/>
    </w:pPr>
    <w:r w:rsidRPr="009542AA">
      <w:t>CERD/C/ARE/Q/18-21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A0C" w:rsidRPr="009542AA" w:rsidRDefault="009542AA" w:rsidP="009542AA">
    <w:pPr>
      <w:pStyle w:val="Header"/>
      <w:jc w:val="left"/>
    </w:pPr>
    <w:r w:rsidRPr="009542AA">
      <w:t>CERD/C/ARE/Q/18-21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000F68"/>
    <w:rsid w:val="00000F68"/>
    <w:rsid w:val="000076D5"/>
    <w:rsid w:val="00043663"/>
    <w:rsid w:val="000505CF"/>
    <w:rsid w:val="0007194A"/>
    <w:rsid w:val="000B374B"/>
    <w:rsid w:val="000C2FA1"/>
    <w:rsid w:val="000D701C"/>
    <w:rsid w:val="000E2A71"/>
    <w:rsid w:val="00156D54"/>
    <w:rsid w:val="00160263"/>
    <w:rsid w:val="00164121"/>
    <w:rsid w:val="00181F96"/>
    <w:rsid w:val="001A1371"/>
    <w:rsid w:val="001B346A"/>
    <w:rsid w:val="001E1CAD"/>
    <w:rsid w:val="001E290D"/>
    <w:rsid w:val="002144FA"/>
    <w:rsid w:val="0023469A"/>
    <w:rsid w:val="0024318B"/>
    <w:rsid w:val="00243C8A"/>
    <w:rsid w:val="00267A0E"/>
    <w:rsid w:val="002801A8"/>
    <w:rsid w:val="002901D9"/>
    <w:rsid w:val="002976C2"/>
    <w:rsid w:val="002C68D4"/>
    <w:rsid w:val="002D2D42"/>
    <w:rsid w:val="00323064"/>
    <w:rsid w:val="003260FF"/>
    <w:rsid w:val="00326A5E"/>
    <w:rsid w:val="00341DC0"/>
    <w:rsid w:val="00343D95"/>
    <w:rsid w:val="00374341"/>
    <w:rsid w:val="003B2F6A"/>
    <w:rsid w:val="003D1062"/>
    <w:rsid w:val="003E0437"/>
    <w:rsid w:val="00420D7B"/>
    <w:rsid w:val="00450B21"/>
    <w:rsid w:val="00453B63"/>
    <w:rsid w:val="00455780"/>
    <w:rsid w:val="004A14A6"/>
    <w:rsid w:val="004B0A1C"/>
    <w:rsid w:val="004D298E"/>
    <w:rsid w:val="00502C59"/>
    <w:rsid w:val="00523BAE"/>
    <w:rsid w:val="0054472E"/>
    <w:rsid w:val="005662A9"/>
    <w:rsid w:val="005827D4"/>
    <w:rsid w:val="0059622A"/>
    <w:rsid w:val="005C5878"/>
    <w:rsid w:val="005C7CEA"/>
    <w:rsid w:val="005D3C0B"/>
    <w:rsid w:val="005E5217"/>
    <w:rsid w:val="005F0FA4"/>
    <w:rsid w:val="005F30EE"/>
    <w:rsid w:val="0060473A"/>
    <w:rsid w:val="00610559"/>
    <w:rsid w:val="00656392"/>
    <w:rsid w:val="0068781D"/>
    <w:rsid w:val="006959B0"/>
    <w:rsid w:val="006A0F6B"/>
    <w:rsid w:val="006B2A0C"/>
    <w:rsid w:val="006B3E27"/>
    <w:rsid w:val="006B6507"/>
    <w:rsid w:val="006C104C"/>
    <w:rsid w:val="00733704"/>
    <w:rsid w:val="0078071A"/>
    <w:rsid w:val="007E118B"/>
    <w:rsid w:val="007E416B"/>
    <w:rsid w:val="00852A9A"/>
    <w:rsid w:val="00872128"/>
    <w:rsid w:val="00875E87"/>
    <w:rsid w:val="008B72DD"/>
    <w:rsid w:val="008E3BF2"/>
    <w:rsid w:val="008F49E1"/>
    <w:rsid w:val="0090370F"/>
    <w:rsid w:val="00912700"/>
    <w:rsid w:val="009269D2"/>
    <w:rsid w:val="0093628F"/>
    <w:rsid w:val="00942135"/>
    <w:rsid w:val="00947EDB"/>
    <w:rsid w:val="009521B0"/>
    <w:rsid w:val="009542AA"/>
    <w:rsid w:val="00994130"/>
    <w:rsid w:val="009A7E9F"/>
    <w:rsid w:val="009E5018"/>
    <w:rsid w:val="00A12B37"/>
    <w:rsid w:val="00A93770"/>
    <w:rsid w:val="00AB6758"/>
    <w:rsid w:val="00AD4B21"/>
    <w:rsid w:val="00B13763"/>
    <w:rsid w:val="00B477A4"/>
    <w:rsid w:val="00B54045"/>
    <w:rsid w:val="00BB187E"/>
    <w:rsid w:val="00C438D7"/>
    <w:rsid w:val="00C576E8"/>
    <w:rsid w:val="00C81B50"/>
    <w:rsid w:val="00CB28F9"/>
    <w:rsid w:val="00CD1801"/>
    <w:rsid w:val="00D10EF1"/>
    <w:rsid w:val="00D42810"/>
    <w:rsid w:val="00D7058C"/>
    <w:rsid w:val="00D914A7"/>
    <w:rsid w:val="00DD13C3"/>
    <w:rsid w:val="00DD596E"/>
    <w:rsid w:val="00DD621E"/>
    <w:rsid w:val="00DF0575"/>
    <w:rsid w:val="00E21FA2"/>
    <w:rsid w:val="00E70E04"/>
    <w:rsid w:val="00E76499"/>
    <w:rsid w:val="00EC05A7"/>
    <w:rsid w:val="00EC4B6B"/>
    <w:rsid w:val="00EF1EE5"/>
    <w:rsid w:val="00EF2D91"/>
    <w:rsid w:val="00F058CD"/>
    <w:rsid w:val="00F471DE"/>
    <w:rsid w:val="00F55DE6"/>
    <w:rsid w:val="00F763B4"/>
    <w:rsid w:val="00F900C3"/>
    <w:rsid w:val="00FD2424"/>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73F05AC-A2C3-43B0-B9E7-216E2587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341DC0"/>
    <w:pPr>
      <w:keepNext/>
      <w:keepLines/>
      <w:tabs>
        <w:tab w:val="right" w:pos="1021"/>
      </w:tabs>
      <w:spacing w:before="240" w:after="120" w:line="380" w:lineRule="exact"/>
      <w:ind w:left="1247" w:right="1247" w:hanging="1247"/>
    </w:pPr>
    <w:rPr>
      <w:b/>
      <w:bCs/>
      <w:lang w:eastAsia="ar-SA"/>
    </w:rPr>
  </w:style>
  <w:style w:type="paragraph" w:customStyle="1" w:styleId="H4GA">
    <w:name w:val="_ H_4_GA"/>
    <w:basedOn w:val="Normal"/>
    <w:next w:val="Normal"/>
    <w:qFormat/>
    <w:rsid w:val="003E0437"/>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3E0437"/>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E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729DF-9527-42A0-B9FD-87F0C0E3F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CERD</Template>
  <TotalTime>0</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CERD/C/ARE/Q/18-21</vt:lpstr>
    </vt:vector>
  </TitlesOfParts>
  <Company>DCM</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CERD/C/ARE/Q/18-21</dc:title>
  <dc:subject>GE.17-08297</dc:subject>
  <dc:creator>bah/EL</dc:creator>
  <cp:keywords>ODS No.1714282</cp:keywords>
  <dc:description>Original: English _x000d_
Distribution: General_x000d_
Date: 23 May 2017</dc:description>
  <cp:lastModifiedBy>ali zarea</cp:lastModifiedBy>
  <cp:revision>2</cp:revision>
  <dcterms:created xsi:type="dcterms:W3CDTF">2017-08-11T12:48:00Z</dcterms:created>
  <dcterms:modified xsi:type="dcterms:W3CDTF">2017-08-11T12:48:00Z</dcterms:modified>
  <cp:category>Final</cp:category>
</cp:coreProperties>
</file>